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Mongolian Baiti"/>
          <w:bCs/>
          <w:sz w:val="28"/>
          <w:szCs w:val="21"/>
          <w:lang w:bidi="mn-Mong-CN"/>
        </w:rPr>
      </w:pPr>
      <w:r>
        <w:rPr>
          <w:rFonts w:hint="eastAsia" w:ascii="黑体" w:hAnsi="黑体" w:eastAsia="黑体" w:cs="Mongolian Baiti"/>
          <w:bCs/>
          <w:sz w:val="28"/>
          <w:szCs w:val="21"/>
          <w:lang w:bidi="mn-Mong-CN"/>
        </w:rPr>
        <w:t>北京市健身房生产安全事故隐患</w:t>
      </w:r>
      <w:bookmarkStart w:id="0" w:name="_GoBack"/>
      <w:bookmarkEnd w:id="0"/>
      <w:r>
        <w:rPr>
          <w:rFonts w:hint="eastAsia" w:ascii="黑体" w:hAnsi="黑体" w:eastAsia="黑体" w:cs="Mongolian Baiti"/>
          <w:bCs/>
          <w:sz w:val="28"/>
          <w:szCs w:val="21"/>
          <w:lang w:bidi="mn-Mong-CN"/>
        </w:rPr>
        <w:t>目录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868"/>
        <w:gridCol w:w="1539"/>
        <w:gridCol w:w="3113"/>
        <w:gridCol w:w="6086"/>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blHeader/>
        </w:trPr>
        <w:tc>
          <w:tcPr>
            <w:tcW w:w="1848"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编号</w:t>
            </w:r>
          </w:p>
        </w:tc>
        <w:tc>
          <w:tcPr>
            <w:tcW w:w="2407" w:type="dxa"/>
            <w:gridSpan w:val="2"/>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隐患分类</w:t>
            </w:r>
          </w:p>
        </w:tc>
        <w:tc>
          <w:tcPr>
            <w:tcW w:w="3113"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隐患内容</w:t>
            </w:r>
          </w:p>
        </w:tc>
        <w:tc>
          <w:tcPr>
            <w:tcW w:w="6086"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依据</w:t>
            </w:r>
          </w:p>
        </w:tc>
        <w:tc>
          <w:tcPr>
            <w:tcW w:w="494"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blHeader/>
        </w:trPr>
        <w:tc>
          <w:tcPr>
            <w:tcW w:w="1848" w:type="dxa"/>
            <w:vMerge w:val="continue"/>
            <w:tcBorders>
              <w:bottom w:val="single" w:color="auto" w:sz="4" w:space="0"/>
            </w:tcBorders>
            <w:shd w:val="clear" w:color="auto" w:fill="auto"/>
            <w:tcMar>
              <w:left w:w="0" w:type="dxa"/>
              <w:right w:w="0" w:type="dxa"/>
            </w:tcMar>
            <w:vAlign w:val="center"/>
          </w:tcPr>
          <w:p>
            <w:pPr>
              <w:jc w:val="center"/>
              <w:rPr>
                <w:rFonts w:ascii="黑体" w:hAnsi="黑体" w:eastAsia="黑体" w:cs="Mongolian Baiti"/>
                <w:bCs/>
                <w:szCs w:val="21"/>
                <w:lang w:bidi="mn-Mong-CN"/>
              </w:rPr>
            </w:pPr>
          </w:p>
        </w:tc>
        <w:tc>
          <w:tcPr>
            <w:tcW w:w="868" w:type="dxa"/>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一类</w:t>
            </w:r>
          </w:p>
        </w:tc>
        <w:tc>
          <w:tcPr>
            <w:tcW w:w="1539" w:type="dxa"/>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二类</w:t>
            </w:r>
          </w:p>
        </w:tc>
        <w:tc>
          <w:tcPr>
            <w:tcW w:w="3113" w:type="dxa"/>
            <w:vMerge w:val="continue"/>
            <w:shd w:val="clear" w:color="auto" w:fill="auto"/>
            <w:tcMar>
              <w:left w:w="0" w:type="dxa"/>
              <w:right w:w="0" w:type="dxa"/>
            </w:tcMar>
            <w:vAlign w:val="center"/>
          </w:tcPr>
          <w:p>
            <w:pPr>
              <w:rPr>
                <w:rFonts w:ascii="黑体" w:hAnsi="黑体" w:eastAsia="黑体" w:cs="Mongolian Baiti"/>
                <w:bCs/>
                <w:szCs w:val="21"/>
                <w:lang w:bidi="mn-Mong-CN"/>
              </w:rPr>
            </w:pPr>
          </w:p>
        </w:tc>
        <w:tc>
          <w:tcPr>
            <w:tcW w:w="6086" w:type="dxa"/>
            <w:vMerge w:val="continue"/>
            <w:shd w:val="clear" w:color="auto" w:fill="auto"/>
            <w:tcMar>
              <w:left w:w="0" w:type="dxa"/>
              <w:right w:w="0" w:type="dxa"/>
            </w:tcMar>
            <w:vAlign w:val="center"/>
          </w:tcPr>
          <w:p>
            <w:pPr>
              <w:rPr>
                <w:rFonts w:ascii="黑体" w:hAnsi="黑体" w:eastAsia="黑体" w:cs="Mongolian Baiti"/>
                <w:bCs/>
                <w:szCs w:val="21"/>
                <w:lang w:bidi="mn-Mong-CN"/>
              </w:rPr>
            </w:pPr>
          </w:p>
        </w:tc>
        <w:tc>
          <w:tcPr>
            <w:tcW w:w="494" w:type="dxa"/>
            <w:vMerge w:val="continue"/>
            <w:shd w:val="clear" w:color="auto" w:fill="auto"/>
            <w:tcMar>
              <w:left w:w="0" w:type="dxa"/>
              <w:right w:w="0" w:type="dxa"/>
            </w:tcMar>
            <w:vAlign w:val="center"/>
          </w:tcPr>
          <w:p>
            <w:pPr>
              <w:jc w:val="center"/>
              <w:rPr>
                <w:rFonts w:ascii="黑体" w:hAnsi="黑体" w:eastAsia="黑体" w:cs="Mongolian Baiti"/>
                <w:bCs/>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s="Mongolian Baiti"/>
                <w:szCs w:val="21"/>
                <w:lang w:bidi="mn-Mong-CN"/>
              </w:rPr>
            </w:pPr>
            <w:r>
              <w:rPr>
                <w:rFonts w:ascii="Times New Roman" w:hAnsi="Times New Roman"/>
                <w:kern w:val="0"/>
                <w:szCs w:val="21"/>
                <w:lang w:bidi="mn-Mong-CN"/>
              </w:rPr>
              <w:t>2021.016.01.001</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资质证照类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未取得有效的营业执照或超范围经营。</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《中华人民共和国公司法》第六、七、十二、十三、十四条；</w:t>
            </w:r>
          </w:p>
          <w:p>
            <w:pPr>
              <w:rPr>
                <w:rFonts w:ascii="宋体" w:hAnsi="宋体" w:cs="Mongolian Baiti"/>
                <w:szCs w:val="21"/>
                <w:lang w:bidi="mn-Mong-CN"/>
              </w:rPr>
            </w:pPr>
            <w:r>
              <w:rPr>
                <w:rFonts w:hint="eastAsia" w:ascii="宋体" w:hAnsi="宋体" w:cs="Mongolian Baiti"/>
                <w:szCs w:val="21"/>
                <w:lang w:bidi="mn-Mong-CN"/>
              </w:rPr>
              <w:t>《中华人民共和国企业法人登记管理条例》第三、十三、十七条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Times New Roman" w:hAnsi="Times New Roman"/>
                <w:kern w:val="0"/>
                <w:szCs w:val="21"/>
                <w:lang w:bidi="mn-Mong-CN"/>
              </w:rPr>
            </w:pPr>
            <w:r>
              <w:rPr>
                <w:rFonts w:ascii="Times New Roman" w:hAnsi="Times New Roman"/>
                <w:kern w:val="0"/>
                <w:szCs w:val="21"/>
                <w:lang w:bidi="mn-Mong-CN"/>
              </w:rPr>
              <w:t>2021.016.01.002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宋体"/>
                <w:color w:val="000000"/>
                <w:kern w:val="0"/>
                <w:szCs w:val="21"/>
              </w:rPr>
              <w:t>机构及人员配备类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未设置安全生产管理机构或配备专职（兼职）安全生产管理人员。</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《中华人民共和国安全生产法》</w:t>
            </w:r>
            <w:r>
              <w:rPr>
                <w:rFonts w:hint="eastAsia" w:ascii="Times New Roman" w:hAnsi="Times New Roman"/>
                <w:kern w:val="0"/>
                <w:szCs w:val="21"/>
              </w:rPr>
              <w:t>第二十四条</w:t>
            </w:r>
            <w:r>
              <w:rPr>
                <w:rFonts w:hint="eastAsia" w:ascii="宋体" w:hAnsi="宋体" w:cs="宋体"/>
                <w:color w:val="000000"/>
                <w:kern w:val="0"/>
                <w:szCs w:val="21"/>
              </w:rPr>
              <w:t>；</w:t>
            </w:r>
          </w:p>
          <w:p>
            <w:pPr>
              <w:widowControl/>
              <w:rPr>
                <w:rFonts w:ascii="宋体" w:hAnsi="宋体" w:cs="宋体"/>
                <w:color w:val="000000"/>
                <w:kern w:val="0"/>
                <w:szCs w:val="21"/>
              </w:rPr>
            </w:pPr>
            <w:r>
              <w:rPr>
                <w:rFonts w:hint="eastAsia" w:ascii="宋体" w:hAnsi="宋体" w:cs="宋体"/>
                <w:color w:val="000000"/>
                <w:kern w:val="0"/>
                <w:szCs w:val="21"/>
              </w:rPr>
              <w:t>《北京市安全生产条例》第十五条；</w:t>
            </w:r>
          </w:p>
          <w:p>
            <w:pPr>
              <w:widowControl/>
              <w:rPr>
                <w:rFonts w:ascii="宋体" w:hAnsi="宋体" w:cs="宋体"/>
                <w:color w:val="000000"/>
                <w:kern w:val="0"/>
                <w:szCs w:val="21"/>
              </w:rPr>
            </w:pPr>
            <w:r>
              <w:rPr>
                <w:rFonts w:hint="eastAsia" w:ascii="宋体" w:hAnsi="宋体" w:cs="宋体"/>
                <w:color w:val="000000"/>
                <w:kern w:val="0"/>
                <w:szCs w:val="21"/>
              </w:rPr>
              <w:t>《北京市生产经营单位安全生产主体责任规定》第十一条；</w:t>
            </w:r>
          </w:p>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《北京市体育运动项目经营单位安全生产规定》第七条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责任制类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未建立健全全员安全生产责任制，未层层签订安全生产责任书；未制定主要负责人或实际控制人安全职责，未明确规定主要负责人或实际控制人是安全生产第一责任人；未制定分管安全生产负责人的安全职责。</w:t>
            </w:r>
          </w:p>
        </w:tc>
        <w:tc>
          <w:tcPr>
            <w:tcW w:w="6086" w:type="dxa"/>
            <w:shd w:val="clear" w:color="auto" w:fill="auto"/>
            <w:tcMar>
              <w:left w:w="0" w:type="dxa"/>
              <w:right w:w="0" w:type="dxa"/>
            </w:tcMar>
            <w:vAlign w:val="center"/>
          </w:tcPr>
          <w:p>
            <w:pPr>
              <w:widowControl/>
              <w:rPr>
                <w:rFonts w:ascii="宋体" w:hAnsi="宋体" w:cs="Mongolian Baiti"/>
                <w:szCs w:val="21"/>
                <w:lang w:bidi="mn-Mong-CN"/>
              </w:rPr>
            </w:pPr>
            <w:r>
              <w:rPr>
                <w:rFonts w:hint="eastAsia" w:ascii="宋体" w:hAnsi="宋体" w:cs="Mongolian Baiti"/>
                <w:szCs w:val="21"/>
                <w:lang w:bidi="mn-Mong-CN"/>
              </w:rPr>
              <w:t>《中华人民共和国安全生产法》</w:t>
            </w:r>
            <w:r>
              <w:rPr>
                <w:rFonts w:hint="eastAsia" w:ascii="Times New Roman" w:hAnsi="Times New Roman"/>
                <w:kern w:val="0"/>
                <w:szCs w:val="21"/>
              </w:rPr>
              <w:t>第五、二十一、二十二、二十五条</w:t>
            </w:r>
            <w:r>
              <w:rPr>
                <w:rFonts w:hint="eastAsia" w:ascii="宋体" w:hAnsi="宋体" w:cs="Mongolian Baiti"/>
                <w:szCs w:val="21"/>
                <w:lang w:bidi="mn-Mong-CN"/>
              </w:rPr>
              <w:t>；</w:t>
            </w:r>
          </w:p>
          <w:p>
            <w:pPr>
              <w:widowControl/>
              <w:rPr>
                <w:rFonts w:ascii="宋体" w:hAnsi="宋体" w:cs="Mongolian Baiti"/>
                <w:szCs w:val="21"/>
                <w:lang w:bidi="mn-Mong-CN"/>
              </w:rPr>
            </w:pPr>
            <w:r>
              <w:rPr>
                <w:rFonts w:hint="eastAsia" w:ascii="宋体" w:hAnsi="宋体" w:cs="Mongolian Baiti"/>
                <w:szCs w:val="21"/>
                <w:lang w:bidi="mn-Mong-CN"/>
              </w:rPr>
              <w:t>《北京市安全生产条例》第四、十六、十七、二十七条；</w:t>
            </w:r>
          </w:p>
          <w:p>
            <w:pPr>
              <w:widowControl/>
              <w:rPr>
                <w:rFonts w:ascii="宋体" w:hAnsi="宋体" w:cs="Mongolian Baiti"/>
                <w:szCs w:val="21"/>
                <w:lang w:bidi="mn-Mong-CN"/>
              </w:rPr>
            </w:pPr>
            <w:r>
              <w:rPr>
                <w:rFonts w:hint="eastAsia" w:ascii="宋体" w:hAnsi="宋体" w:cs="Mongolian Baiti"/>
                <w:szCs w:val="21"/>
                <w:lang w:bidi="mn-Mong-CN"/>
              </w:rPr>
              <w:t>《北京市生产经营单位安全生产主体责任规定》第三、六条；</w:t>
            </w:r>
          </w:p>
          <w:p>
            <w:pPr>
              <w:rPr>
                <w:rFonts w:ascii="宋体" w:hAnsi="宋体" w:cs="Mongolian Baiti"/>
                <w:szCs w:val="21"/>
                <w:lang w:bidi="mn-Mong-CN"/>
              </w:rPr>
            </w:pPr>
            <w:r>
              <w:rPr>
                <w:rFonts w:hint="eastAsia" w:ascii="Times New Roman" w:hAnsi="Times New Roman"/>
                <w:kern w:val="0"/>
                <w:szCs w:val="21"/>
              </w:rPr>
              <w:t>DB 11/T1322.2-2017《安全生产等级评定技术规范 第2部分：安全生产通用要求》第</w:t>
            </w:r>
            <w:r>
              <w:rPr>
                <w:rFonts w:ascii="Times New Roman" w:hAnsi="Times New Roman"/>
                <w:kern w:val="0"/>
                <w:szCs w:val="21"/>
              </w:rPr>
              <w:t>3.1.1.1</w:t>
            </w:r>
            <w:r>
              <w:rPr>
                <w:rFonts w:hint="eastAsia" w:ascii="Times New Roman" w:hAnsi="Times New Roman"/>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制度类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制定相关安全生产规章制度（安全生产教育和培训制度，安全生产例会制度，安全生产检查制度，生产安全事故隐患排查和治理制度，安全生产奖励和惩罚制度，生产安全事故报告和调查处理制度，劳动防护用品配备和使用制度等）或安全生产制度与实际不相符。</w:t>
            </w:r>
          </w:p>
        </w:tc>
        <w:tc>
          <w:tcPr>
            <w:tcW w:w="6086" w:type="dxa"/>
            <w:shd w:val="clear" w:color="auto" w:fill="auto"/>
            <w:tcMar>
              <w:left w:w="0" w:type="dxa"/>
              <w:right w:w="0" w:type="dxa"/>
            </w:tcMar>
            <w:vAlign w:val="center"/>
          </w:tcPr>
          <w:p>
            <w:pPr>
              <w:widowControl/>
              <w:rPr>
                <w:rFonts w:ascii="宋体" w:hAnsi="宋体" w:cs="Mongolian Baiti"/>
                <w:szCs w:val="21"/>
                <w:lang w:bidi="mn-Mong-CN"/>
              </w:rPr>
            </w:pPr>
            <w:r>
              <w:rPr>
                <w:rFonts w:hint="eastAsia" w:ascii="宋体" w:hAnsi="宋体" w:cs="Mongolian Baiti"/>
                <w:szCs w:val="21"/>
                <w:lang w:bidi="mn-Mong-CN"/>
              </w:rPr>
              <w:t>《中华人民共和国安全生产法》</w:t>
            </w:r>
            <w:r>
              <w:rPr>
                <w:rFonts w:hint="eastAsia" w:ascii="Times New Roman" w:hAnsi="Times New Roman"/>
                <w:kern w:val="0"/>
                <w:szCs w:val="21"/>
              </w:rPr>
              <w:t>第二十一条</w:t>
            </w:r>
            <w:r>
              <w:rPr>
                <w:rFonts w:hint="eastAsia" w:ascii="宋体" w:hAnsi="宋体" w:cs="Mongolian Baiti"/>
                <w:szCs w:val="21"/>
                <w:lang w:bidi="mn-Mong-CN"/>
              </w:rPr>
              <w:t>；</w:t>
            </w:r>
          </w:p>
          <w:p>
            <w:pPr>
              <w:widowControl/>
              <w:rPr>
                <w:rFonts w:ascii="宋体" w:hAnsi="宋体" w:cs="Mongolian Baiti"/>
                <w:szCs w:val="21"/>
                <w:lang w:bidi="mn-Mong-CN"/>
              </w:rPr>
            </w:pPr>
            <w:r>
              <w:rPr>
                <w:rFonts w:hint="eastAsia" w:ascii="宋体" w:hAnsi="宋体" w:cs="Mongolian Baiti"/>
                <w:szCs w:val="21"/>
                <w:lang w:bidi="mn-Mong-CN"/>
              </w:rPr>
              <w:t>《北京市安全生产条例》第十五、十八条；</w:t>
            </w:r>
          </w:p>
          <w:p>
            <w:pPr>
              <w:widowControl/>
              <w:rPr>
                <w:rFonts w:ascii="宋体" w:hAnsi="宋体" w:cs="Mongolian Baiti"/>
                <w:szCs w:val="21"/>
                <w:lang w:bidi="mn-Mong-CN"/>
              </w:rPr>
            </w:pPr>
            <w:r>
              <w:rPr>
                <w:rFonts w:hint="eastAsia" w:ascii="宋体" w:hAnsi="宋体" w:cs="Mongolian Baiti"/>
                <w:szCs w:val="21"/>
                <w:lang w:bidi="mn-Mong-CN"/>
              </w:rPr>
              <w:t>《北京市生产经营单位安全生产主体责任规定》第七条；</w:t>
            </w:r>
          </w:p>
          <w:p>
            <w:pPr>
              <w:widowControl/>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《北京市体育运动项目经营单位安全生产规定》第十条、第十一条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操作规程类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未制定岗位的安全操作规程。</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《中华人民共和国安全生产法》</w:t>
            </w:r>
            <w:r>
              <w:rPr>
                <w:rFonts w:hint="eastAsia" w:ascii="Times New Roman" w:hAnsi="Times New Roman"/>
                <w:kern w:val="0"/>
                <w:szCs w:val="21"/>
              </w:rPr>
              <w:t>第二十一条</w:t>
            </w:r>
            <w:r>
              <w:rPr>
                <w:rFonts w:hint="eastAsia" w:ascii="宋体" w:hAnsi="宋体" w:cs="宋体"/>
                <w:color w:val="000000"/>
                <w:kern w:val="0"/>
                <w:szCs w:val="21"/>
              </w:rPr>
              <w:t>；</w:t>
            </w:r>
          </w:p>
          <w:p>
            <w:pPr>
              <w:widowControl/>
              <w:rPr>
                <w:rFonts w:ascii="宋体" w:hAnsi="宋体" w:cs="宋体"/>
                <w:color w:val="000000"/>
                <w:kern w:val="0"/>
                <w:szCs w:val="21"/>
              </w:rPr>
            </w:pPr>
            <w:r>
              <w:rPr>
                <w:rFonts w:hint="eastAsia" w:ascii="宋体" w:hAnsi="宋体" w:cs="宋体"/>
                <w:color w:val="000000"/>
                <w:kern w:val="0"/>
                <w:szCs w:val="21"/>
              </w:rPr>
              <w:t>《北京市安全生产条例》第十五条；</w:t>
            </w:r>
          </w:p>
          <w:p>
            <w:pPr>
              <w:widowControl/>
              <w:rPr>
                <w:rFonts w:ascii="宋体" w:hAnsi="宋体" w:cs="宋体"/>
                <w:color w:val="000000"/>
                <w:kern w:val="0"/>
                <w:szCs w:val="21"/>
              </w:rPr>
            </w:pPr>
            <w:r>
              <w:rPr>
                <w:rFonts w:hint="eastAsia" w:ascii="宋体" w:hAnsi="宋体" w:cs="宋体"/>
                <w:color w:val="000000"/>
                <w:kern w:val="0"/>
                <w:szCs w:val="21"/>
              </w:rPr>
              <w:t>《北京市生产经营单位安全生产主体责任规定》第八条；</w:t>
            </w:r>
          </w:p>
          <w:p>
            <w:pPr>
              <w:rPr>
                <w:rFonts w:ascii="宋体" w:hAnsi="宋体" w:cs="Mongolian Baiti"/>
                <w:szCs w:val="21"/>
                <w:lang w:bidi="mn-Mong-CN"/>
              </w:rPr>
            </w:pPr>
            <w:r>
              <w:rPr>
                <w:rFonts w:ascii="Times New Roman" w:hAnsi="Times New Roman"/>
                <w:kern w:val="0"/>
                <w:szCs w:val="21"/>
              </w:rPr>
              <w:t>DB 11/T 1322.2-2017</w:t>
            </w:r>
            <w:r>
              <w:rPr>
                <w:rFonts w:hint="eastAsia" w:ascii="Times New Roman" w:hAnsi="Times New Roman"/>
                <w:kern w:val="0"/>
                <w:szCs w:val="21"/>
              </w:rPr>
              <w:t>《安全生产等级评定技术规范</w:t>
            </w:r>
            <w:r>
              <w:rPr>
                <w:rFonts w:ascii="Times New Roman" w:hAnsi="Times New Roman"/>
                <w:kern w:val="0"/>
                <w:szCs w:val="21"/>
              </w:rPr>
              <w:t xml:space="preserve"> </w:t>
            </w:r>
            <w:r>
              <w:rPr>
                <w:rFonts w:hint="eastAsia" w:ascii="Times New Roman" w:hAnsi="Times New Roman"/>
                <w:kern w:val="0"/>
                <w:szCs w:val="21"/>
              </w:rPr>
              <w:t>第</w:t>
            </w:r>
            <w:r>
              <w:rPr>
                <w:rFonts w:ascii="Times New Roman" w:hAnsi="Times New Roman"/>
                <w:kern w:val="0"/>
                <w:szCs w:val="21"/>
              </w:rPr>
              <w:t>2</w:t>
            </w:r>
            <w:r>
              <w:rPr>
                <w:rFonts w:hint="eastAsia" w:ascii="Times New Roman" w:hAnsi="Times New Roman"/>
                <w:kern w:val="0"/>
                <w:szCs w:val="21"/>
              </w:rPr>
              <w:t>部分：安全生产通用要求》第</w:t>
            </w:r>
            <w:r>
              <w:rPr>
                <w:rFonts w:ascii="Times New Roman" w:hAnsi="Times New Roman"/>
                <w:kern w:val="0"/>
                <w:szCs w:val="21"/>
              </w:rPr>
              <w:t>3.1.3</w:t>
            </w:r>
            <w:r>
              <w:rPr>
                <w:rFonts w:hint="eastAsia" w:ascii="Times New Roman" w:hAnsi="Times New Roman"/>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2021.016.01.006</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记录档案类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Times New Roman" w:hAnsi="Times New Roman"/>
                <w:kern w:val="0"/>
                <w:szCs w:val="21"/>
              </w:rPr>
              <w:t>未建立安全生产会议、安全生产宣传教育和培训、安全生产检查、安全生产隐患排查治理、安全风险分级管控、安全生产事故管理、安全工作考核与奖惩、安全生产设施设备及维护等记录和档案。</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《中华人民共和国安全生产法》</w:t>
            </w:r>
            <w:r>
              <w:rPr>
                <w:rFonts w:hint="eastAsia" w:ascii="Times New Roman" w:hAnsi="Times New Roman"/>
                <w:kern w:val="0"/>
                <w:szCs w:val="21"/>
              </w:rPr>
              <w:t>第四十一条</w:t>
            </w:r>
            <w:r>
              <w:rPr>
                <w:rFonts w:hint="eastAsia" w:ascii="宋体" w:hAnsi="宋体" w:cs="宋体"/>
                <w:color w:val="000000"/>
                <w:kern w:val="0"/>
                <w:szCs w:val="21"/>
              </w:rPr>
              <w:t>；</w:t>
            </w:r>
          </w:p>
          <w:p>
            <w:pPr>
              <w:widowControl/>
              <w:rPr>
                <w:rFonts w:ascii="宋体" w:hAnsi="宋体" w:cs="宋体"/>
                <w:color w:val="000000"/>
                <w:kern w:val="0"/>
                <w:szCs w:val="21"/>
              </w:rPr>
            </w:pPr>
            <w:r>
              <w:rPr>
                <w:rFonts w:hint="eastAsia" w:ascii="宋体" w:hAnsi="宋体" w:cs="宋体"/>
                <w:color w:val="000000"/>
                <w:kern w:val="0"/>
                <w:szCs w:val="21"/>
              </w:rPr>
              <w:t>《生产经营单位安全培训规定》第二十二条；</w:t>
            </w:r>
          </w:p>
          <w:p>
            <w:pPr>
              <w:rPr>
                <w:rFonts w:ascii="宋体" w:hAnsi="宋体" w:cs="Mongolian Baiti"/>
                <w:szCs w:val="21"/>
                <w:lang w:bidi="mn-Mong-CN"/>
              </w:rPr>
            </w:pPr>
            <w:r>
              <w:rPr>
                <w:rFonts w:hint="eastAsia" w:ascii="宋体" w:hAnsi="宋体" w:cs="宋体"/>
                <w:color w:val="000000"/>
                <w:kern w:val="0"/>
                <w:szCs w:val="21"/>
              </w:rPr>
              <w:t>《北京市生产经营单位安全生产主体责任规定》第十七条、十八条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Arial" w:hAnsi="Arial" w:cs="Arial"/>
                <w:color w:val="333333"/>
                <w:szCs w:val="21"/>
                <w:shd w:val="clear" w:color="auto" w:fill="FFFFFF"/>
              </w:rPr>
            </w:pPr>
            <w:r>
              <w:rPr>
                <w:rFonts w:ascii="Arial" w:hAnsi="Arial" w:cs="Arial"/>
                <w:color w:val="333333"/>
                <w:szCs w:val="21"/>
                <w:shd w:val="clear" w:color="auto" w:fill="FFFFFF"/>
              </w:rPr>
              <w:t>安全生产教</w:t>
            </w:r>
            <w:r>
              <w:rPr>
                <w:rFonts w:ascii="Times New Roman" w:hAnsi="Times New Roman"/>
                <w:color w:val="333333"/>
                <w:szCs w:val="21"/>
                <w:shd w:val="clear" w:color="auto" w:fill="FFFFFF"/>
              </w:rPr>
              <w:t>育和培训记录保存时长少于2年。</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《北京市体育运动项目经营单位安全生产规定》第八条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应急救援类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未按要求编制应急救援预案。</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《生产安全事故应急条例》</w:t>
            </w:r>
            <w:r>
              <w:rPr>
                <w:rFonts w:hint="eastAsia" w:ascii="Times New Roman" w:hAnsi="Times New Roman"/>
                <w:kern w:val="0"/>
                <w:szCs w:val="21"/>
              </w:rPr>
              <w:t>第五、六条</w:t>
            </w:r>
            <w:r>
              <w:rPr>
                <w:rFonts w:hint="eastAsia" w:ascii="宋体" w:hAnsi="宋体" w:cs="宋体"/>
                <w:color w:val="000000"/>
                <w:kern w:val="0"/>
                <w:szCs w:val="21"/>
              </w:rPr>
              <w:t>；</w:t>
            </w:r>
          </w:p>
          <w:p>
            <w:pPr>
              <w:widowControl/>
              <w:rPr>
                <w:rFonts w:ascii="宋体" w:hAnsi="宋体" w:cs="宋体"/>
                <w:color w:val="000000"/>
                <w:kern w:val="0"/>
                <w:szCs w:val="21"/>
              </w:rPr>
            </w:pPr>
            <w:r>
              <w:rPr>
                <w:rFonts w:hint="eastAsia" w:ascii="宋体" w:hAnsi="宋体" w:cs="宋体"/>
                <w:color w:val="000000"/>
                <w:kern w:val="0"/>
                <w:szCs w:val="21"/>
              </w:rPr>
              <w:t>《生产安全事故应急预案管理办法》</w:t>
            </w:r>
            <w:r>
              <w:rPr>
                <w:rFonts w:hint="eastAsia" w:ascii="Times New Roman" w:hAnsi="Times New Roman"/>
                <w:kern w:val="0"/>
                <w:szCs w:val="21"/>
              </w:rPr>
              <w:t>第十三条至第十九条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2021.016.01.009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未指定兼职的应急救援人员。</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《中华人民共和国安全生产法》第八十二条；</w:t>
            </w:r>
          </w:p>
          <w:p>
            <w:pPr>
              <w:widowControl/>
              <w:rPr>
                <w:rFonts w:ascii="宋体" w:hAnsi="宋体" w:cs="宋体"/>
                <w:color w:val="000000"/>
                <w:kern w:val="0"/>
                <w:szCs w:val="21"/>
              </w:rPr>
            </w:pPr>
            <w:r>
              <w:rPr>
                <w:rFonts w:hint="eastAsia" w:ascii="宋体" w:hAnsi="宋体" w:cs="宋体"/>
                <w:color w:val="000000"/>
                <w:kern w:val="0"/>
                <w:szCs w:val="21"/>
              </w:rPr>
              <w:t>《生产安全事故应急条例》第十、十一条；</w:t>
            </w:r>
          </w:p>
          <w:p>
            <w:pPr>
              <w:widowControl/>
              <w:rPr>
                <w:rFonts w:ascii="宋体" w:hAnsi="宋体" w:cs="宋体"/>
                <w:color w:val="000000"/>
                <w:kern w:val="0"/>
                <w:szCs w:val="21"/>
              </w:rPr>
            </w:pPr>
            <w:r>
              <w:rPr>
                <w:rFonts w:hint="eastAsia" w:ascii="宋体" w:hAnsi="宋体" w:cs="宋体"/>
                <w:color w:val="000000"/>
                <w:kern w:val="0"/>
                <w:szCs w:val="21"/>
              </w:rPr>
              <w:t>《北京市生产经营单位安全生产主体责任规定》第</w:t>
            </w:r>
            <w:r>
              <w:rPr>
                <w:rFonts w:hint="eastAsia" w:ascii="Times New Roman" w:hAnsi="Times New Roman"/>
                <w:kern w:val="0"/>
                <w:szCs w:val="21"/>
              </w:rPr>
              <w:t>三十、</w:t>
            </w:r>
            <w:r>
              <w:rPr>
                <w:rFonts w:hint="eastAsia" w:ascii="宋体" w:hAnsi="宋体" w:cs="宋体"/>
                <w:color w:val="000000"/>
                <w:kern w:val="0"/>
                <w:szCs w:val="21"/>
              </w:rPr>
              <w:t>三十一条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ascii="Arial" w:hAnsi="Arial" w:cs="Arial"/>
                <w:color w:val="333333"/>
                <w:szCs w:val="21"/>
                <w:shd w:val="clear" w:color="auto" w:fill="FFFFFF"/>
              </w:rPr>
              <w:t>应急救援预案每半年演练</w:t>
            </w:r>
            <w:r>
              <w:rPr>
                <w:rFonts w:hint="eastAsia" w:ascii="Arial" w:hAnsi="Arial" w:cs="Arial"/>
                <w:color w:val="333333"/>
                <w:szCs w:val="21"/>
                <w:shd w:val="clear" w:color="auto" w:fill="FFFFFF"/>
              </w:rPr>
              <w:t>少于</w:t>
            </w:r>
            <w:r>
              <w:rPr>
                <w:rFonts w:ascii="Arial" w:hAnsi="Arial" w:cs="Arial"/>
                <w:color w:val="333333"/>
                <w:szCs w:val="21"/>
                <w:shd w:val="clear" w:color="auto" w:fill="FFFFFF"/>
              </w:rPr>
              <w:t>1次。</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《中华人民共和国安全生产法》第八十一条；</w:t>
            </w:r>
          </w:p>
          <w:p>
            <w:pPr>
              <w:widowControl/>
              <w:rPr>
                <w:rFonts w:ascii="宋体" w:hAnsi="宋体" w:cs="宋体"/>
                <w:color w:val="000000"/>
                <w:kern w:val="0"/>
                <w:szCs w:val="21"/>
              </w:rPr>
            </w:pPr>
            <w:r>
              <w:rPr>
                <w:rFonts w:hint="eastAsia" w:ascii="宋体" w:hAnsi="宋体" w:cs="宋体"/>
                <w:color w:val="000000"/>
                <w:kern w:val="0"/>
                <w:szCs w:val="21"/>
              </w:rPr>
              <w:t>《生产安全事故应急条例》第六、八条；</w:t>
            </w:r>
          </w:p>
          <w:p>
            <w:pPr>
              <w:widowControl/>
              <w:rPr>
                <w:rFonts w:ascii="宋体" w:hAnsi="宋体" w:cs="宋体"/>
                <w:color w:val="000000"/>
                <w:kern w:val="0"/>
                <w:szCs w:val="21"/>
              </w:rPr>
            </w:pPr>
            <w:r>
              <w:rPr>
                <w:rFonts w:hint="eastAsia" w:ascii="宋体" w:hAnsi="宋体" w:cs="宋体"/>
                <w:color w:val="000000"/>
                <w:kern w:val="0"/>
                <w:szCs w:val="21"/>
              </w:rPr>
              <w:t>《北京市安全生产条例》第七十七条；</w:t>
            </w:r>
          </w:p>
          <w:p>
            <w:pPr>
              <w:widowControl/>
              <w:rPr>
                <w:rFonts w:ascii="宋体" w:hAnsi="宋体" w:cs="宋体"/>
                <w:color w:val="000000"/>
                <w:kern w:val="0"/>
                <w:szCs w:val="21"/>
              </w:rPr>
            </w:pPr>
            <w:r>
              <w:rPr>
                <w:rFonts w:hint="eastAsia" w:ascii="宋体" w:hAnsi="宋体" w:cs="宋体"/>
                <w:color w:val="000000"/>
                <w:kern w:val="0"/>
                <w:szCs w:val="21"/>
              </w:rPr>
              <w:t>《生产安全事故应急预案管理办法》第三十三、三十五、三十六条；</w:t>
            </w:r>
          </w:p>
          <w:p>
            <w:pPr>
              <w:widowControl/>
              <w:rPr>
                <w:rFonts w:ascii="宋体" w:hAnsi="宋体" w:cs="宋体"/>
                <w:color w:val="000000"/>
                <w:kern w:val="0"/>
                <w:szCs w:val="21"/>
              </w:rPr>
            </w:pPr>
            <w:r>
              <w:rPr>
                <w:rFonts w:hint="eastAsia" w:ascii="宋体" w:hAnsi="宋体" w:cs="Mongolian Baiti"/>
                <w:szCs w:val="21"/>
                <w:lang w:bidi="mn-Mong-CN"/>
              </w:rPr>
              <w:t>《北京市体育运动项目经营单位安全生产规定》第二十九条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相关方管理类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选用未取得相应资质的供应单位、承包（承租）单位的。</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未与相关方签订专门的安全生产管理协议或在承包合同、租赁合同中明确各自的安全生产管理职责。</w:t>
            </w:r>
          </w:p>
        </w:tc>
        <w:tc>
          <w:tcPr>
            <w:tcW w:w="6086"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2021.016.01.013</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相关方管理类</w:t>
            </w: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未对相关方的安全生产工作统一协调、统一管理。</w:t>
            </w:r>
          </w:p>
        </w:tc>
        <w:tc>
          <w:tcPr>
            <w:tcW w:w="6086"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安全生产投入类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未按规定将安全生产费用纳入年度财务预算并专款专用。</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《北京市安全生产条例》第二十一条；</w:t>
            </w:r>
          </w:p>
          <w:p>
            <w:pPr>
              <w:rPr>
                <w:rFonts w:ascii="宋体" w:hAnsi="宋体" w:cs="Mongolian Baiti"/>
                <w:szCs w:val="21"/>
                <w:lang w:bidi="mn-Mong-CN"/>
              </w:rPr>
            </w:pPr>
            <w:r>
              <w:rPr>
                <w:rFonts w:hint="eastAsia" w:ascii="宋体" w:hAnsi="宋体" w:cs="宋体"/>
                <w:color w:val="000000"/>
                <w:kern w:val="0"/>
                <w:szCs w:val="21"/>
              </w:rPr>
              <w:t>《企业安全生产费用提取和使用管理办法》第二十七、三十二条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2021.016.01.015</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rPr>
                <w:rFonts w:ascii="宋体" w:hAnsi="宋体" w:cs="Mongolian Baiti"/>
                <w:szCs w:val="21"/>
                <w:lang w:bidi="mn-Mong-CN"/>
              </w:rPr>
            </w:pPr>
            <w:r>
              <w:t>健身器材</w:t>
            </w:r>
            <w:r>
              <w:rPr>
                <w:rFonts w:hint="eastAsia"/>
              </w:rPr>
              <w:t>有</w:t>
            </w:r>
            <w:r>
              <w:t>倾倒现象。</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GB 17498.1-2008《固定式健身器材 第1部分：通用安全要求和试验方法》第5</w:t>
            </w:r>
            <w:r>
              <w:rPr>
                <w:rFonts w:ascii="宋体" w:hAnsi="宋体" w:cs="Mongolian Baiti"/>
                <w:szCs w:val="21"/>
                <w:lang w:bidi="mn-Mong-CN"/>
              </w:rPr>
              <w:t>.1</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健身器材无产品质量检验合格书。</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DB</w:t>
            </w:r>
            <w:r>
              <w:rPr>
                <w:rFonts w:ascii="宋体" w:hAnsi="宋体" w:cs="Mongolian Baiti"/>
                <w:szCs w:val="21"/>
                <w:lang w:bidi="mn-Mong-CN"/>
              </w:rPr>
              <w:t>11/ 410-2007</w:t>
            </w:r>
            <w:r>
              <w:rPr>
                <w:rFonts w:hint="eastAsia" w:ascii="宋体" w:hAnsi="宋体" w:cs="Mongolian Baiti"/>
                <w:szCs w:val="21"/>
                <w:lang w:bidi="mn-Mong-CN"/>
              </w:rPr>
              <w:t>《体育场所安全管理规范》第5</w:t>
            </w:r>
            <w:r>
              <w:rPr>
                <w:rFonts w:ascii="宋体" w:hAnsi="宋体" w:cs="Mongolian Baiti"/>
                <w:szCs w:val="21"/>
                <w:lang w:bidi="mn-Mong-CN"/>
              </w:rPr>
              <w:t>.2.1</w:t>
            </w:r>
            <w:r>
              <w:rPr>
                <w:rFonts w:hint="eastAsia" w:ascii="宋体" w:hAnsi="宋体" w:cs="Mongolian Baiti"/>
                <w:szCs w:val="21"/>
                <w:lang w:bidi="mn-Mong-CN"/>
              </w:rPr>
              <w:t>条b）</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健身器材未按其使用功能和特点合理摆放。</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DB</w:t>
            </w:r>
            <w:r>
              <w:rPr>
                <w:rFonts w:ascii="宋体" w:hAnsi="宋体" w:cs="Mongolian Baiti"/>
                <w:szCs w:val="21"/>
                <w:lang w:bidi="mn-Mong-CN"/>
              </w:rPr>
              <w:t>11/ 410-2007</w:t>
            </w:r>
            <w:r>
              <w:rPr>
                <w:rFonts w:hint="eastAsia" w:ascii="宋体" w:hAnsi="宋体" w:cs="Mongolian Baiti"/>
                <w:szCs w:val="21"/>
                <w:lang w:bidi="mn-Mong-CN"/>
              </w:rPr>
              <w:t>《体育场所安全管理规范》第5</w:t>
            </w:r>
            <w:r>
              <w:rPr>
                <w:rFonts w:ascii="宋体" w:hAnsi="宋体" w:cs="Mongolian Baiti"/>
                <w:szCs w:val="21"/>
                <w:lang w:bidi="mn-Mong-CN"/>
              </w:rPr>
              <w:t>.2.1</w:t>
            </w:r>
            <w:r>
              <w:rPr>
                <w:rFonts w:hint="eastAsia" w:ascii="宋体" w:hAnsi="宋体" w:cs="Mongolian Baiti"/>
                <w:szCs w:val="21"/>
                <w:lang w:bidi="mn-Mong-CN"/>
              </w:rPr>
              <w:t>条c）</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未在健身器材具有潜在危险位置上标注安全警示标签；或警示标签设置不符合标准规范；或警示标志仅为英文。</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GB</w:t>
            </w:r>
            <w:r>
              <w:rPr>
                <w:rFonts w:ascii="宋体" w:hAnsi="宋体" w:cs="Mongolian Baiti"/>
                <w:szCs w:val="21"/>
                <w:lang w:bidi="mn-Mong-CN"/>
              </w:rPr>
              <w:t>/T 34289-2017</w:t>
            </w:r>
            <w:r>
              <w:rPr>
                <w:rFonts w:hint="eastAsia" w:ascii="宋体" w:hAnsi="宋体" w:cs="Mongolian Baiti"/>
                <w:szCs w:val="21"/>
                <w:lang w:bidi="mn-Mong-CN"/>
              </w:rPr>
              <w:t>《健身器材和健身场所安全标志和标签》第4</w:t>
            </w:r>
            <w:r>
              <w:rPr>
                <w:rFonts w:ascii="宋体" w:hAnsi="宋体" w:cs="Mongolian Baiti"/>
                <w:szCs w:val="21"/>
                <w:lang w:bidi="mn-Mong-CN"/>
              </w:rPr>
              <w:t>.5</w:t>
            </w:r>
            <w:r>
              <w:rPr>
                <w:rFonts w:hint="eastAsia" w:ascii="宋体" w:hAnsi="宋体" w:cs="Mongolian Baiti"/>
                <w:szCs w:val="21"/>
                <w:lang w:bidi="mn-Mong-CN"/>
              </w:rPr>
              <w:t>条和第4</w:t>
            </w:r>
            <w:r>
              <w:rPr>
                <w:rFonts w:ascii="宋体" w:hAnsi="宋体" w:cs="Mongolian Baiti"/>
                <w:szCs w:val="21"/>
                <w:lang w:bidi="mn-Mong-CN"/>
              </w:rPr>
              <w:t>.6</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2021.016.01.019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消防设施和消防产品类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未设置有覆盖整个全部营业区域的广播设备，广播不能使用中英文两种语言播放。</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《北京市体育运动项目经营单位安全生产规定》第三十一条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营业区域内的安全出口、疏散通道和重点部位未按规定设置应急照明灯。</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需要控制人员随意出入的疏散门和设置门禁系统的疏散门，不能保证火灾时不需使用钥匙等任何工具即能从内部易于打开，且应在显著位置未设置具有使用提示的标识。</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Times New Roman" w:hAnsi="Times New Roman"/>
                <w:kern w:val="0"/>
                <w:szCs w:val="21"/>
              </w:rPr>
              <w:t>DB 11/T1322.2-2017《安全生产等级评定技术规范 第2部分：安全生产通用要求》第3</w:t>
            </w:r>
            <w:r>
              <w:rPr>
                <w:rFonts w:ascii="Times New Roman" w:hAnsi="Times New Roman"/>
                <w:kern w:val="0"/>
                <w:szCs w:val="21"/>
              </w:rPr>
              <w:t>.7.2.2</w:t>
            </w:r>
            <w:r>
              <w:rPr>
                <w:rFonts w:hint="eastAsia" w:ascii="Times New Roman" w:hAnsi="Times New Roman"/>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2021.016.01.022</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消防设施和消防产品类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灭火器的管理不符合下列要求：</w:t>
            </w:r>
          </w:p>
          <w:p>
            <w:pPr>
              <w:rPr>
                <w:rFonts w:ascii="宋体" w:hAnsi="宋体" w:cs="Mongolian Baiti"/>
                <w:szCs w:val="21"/>
                <w:lang w:bidi="mn-Mong-CN"/>
              </w:rPr>
            </w:pPr>
            <w:r>
              <w:rPr>
                <w:rFonts w:hint="eastAsia" w:ascii="宋体" w:hAnsi="宋体" w:cs="Mongolian Baiti"/>
                <w:szCs w:val="21"/>
                <w:lang w:bidi="mn-Mong-CN"/>
              </w:rPr>
              <w:t>a）灭火器材应定位存放，设在明显、便于取用的地点，存放点张贴标识，标明灭火器编号、类型、使用方法、责任人等，周围应无障碍物、遮栏、栓系等影响取用的现象。对有视线障碍的灭火器设置点，应设置指示其位置的发光标志；</w:t>
            </w:r>
          </w:p>
          <w:p>
            <w:pPr>
              <w:rPr>
                <w:rFonts w:ascii="宋体" w:hAnsi="宋体" w:cs="Mongolian Baiti"/>
                <w:szCs w:val="21"/>
                <w:lang w:bidi="mn-Mong-CN"/>
              </w:rPr>
            </w:pPr>
            <w:r>
              <w:rPr>
                <w:rFonts w:hint="eastAsia" w:ascii="宋体" w:hAnsi="宋体" w:cs="Mongolian Baiti"/>
                <w:szCs w:val="21"/>
                <w:lang w:bidi="mn-Mong-CN"/>
              </w:rPr>
              <w:t>b）灭火器设置点的环境温度不应超出灭火器的使用温度范围；</w:t>
            </w:r>
          </w:p>
          <w:p>
            <w:pPr>
              <w:rPr>
                <w:rFonts w:ascii="宋体" w:hAnsi="宋体" w:cs="Mongolian Baiti"/>
                <w:szCs w:val="21"/>
                <w:lang w:bidi="mn-Mong-CN"/>
              </w:rPr>
            </w:pPr>
            <w:r>
              <w:rPr>
                <w:rFonts w:hint="eastAsia" w:ascii="宋体" w:hAnsi="宋体" w:cs="Mongolian Baiti"/>
                <w:szCs w:val="21"/>
                <w:lang w:bidi="mn-Mong-CN"/>
              </w:rPr>
              <w:t>c）灭火器箱不应被遮挡、上锁或拴系，箱内应干燥清洁；</w:t>
            </w:r>
          </w:p>
          <w:p>
            <w:pPr>
              <w:rPr>
                <w:rFonts w:ascii="宋体" w:hAnsi="宋体" w:cs="Mongolian Baiti"/>
                <w:szCs w:val="21"/>
                <w:lang w:bidi="mn-Mong-CN"/>
              </w:rPr>
            </w:pPr>
            <w:r>
              <w:rPr>
                <w:rFonts w:hint="eastAsia" w:ascii="宋体" w:hAnsi="宋体" w:cs="Mongolian Baiti"/>
                <w:szCs w:val="21"/>
                <w:lang w:bidi="mn-Mong-CN"/>
              </w:rPr>
              <w:t>d）筒体无明显的损伤、缺陷、锈蚀、泄漏，驱动气体压力在工作压力范围内，其中贮压式灭火器压力显示应在绿区内。</w:t>
            </w:r>
          </w:p>
        </w:tc>
        <w:tc>
          <w:tcPr>
            <w:tcW w:w="6086" w:type="dxa"/>
            <w:shd w:val="clear" w:color="auto" w:fill="auto"/>
            <w:tcMar>
              <w:left w:w="0" w:type="dxa"/>
              <w:right w:w="0" w:type="dxa"/>
            </w:tcMar>
            <w:vAlign w:val="center"/>
          </w:tcPr>
          <w:p>
            <w:pPr>
              <w:rPr>
                <w:rFonts w:ascii="宋体" w:hAnsi="宋体" w:cs="Mongolian Baiti"/>
                <w:szCs w:val="21"/>
                <w:lang w:bidi="mn-Mong-CN"/>
              </w:rPr>
            </w:pP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消防安全疏散标志设置不规范。</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DB11/1024-2013《消防安全疏散标志设置标准》第3.2.2条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电气设备类</w:t>
            </w: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安装在户外的电气装置、临时用电的电气设备、除壁挂式空调电源插座外的其他电源插座或插座回路未安装</w:t>
            </w:r>
            <w:r>
              <w:rPr>
                <w:rFonts w:hint="eastAsia" w:ascii="宋体" w:hAnsi="宋体" w:cs="Mongolian Baiti"/>
                <w:szCs w:val="21"/>
                <w:lang w:bidi="mn-Mong-CN"/>
              </w:rPr>
              <w:t>剩余电流动作保护器</w:t>
            </w:r>
            <w:r>
              <w:rPr>
                <w:rFonts w:hint="eastAsia" w:ascii="宋体" w:hAnsi="宋体" w:cs="宋体"/>
                <w:color w:val="000000"/>
                <w:kern w:val="0"/>
                <w:szCs w:val="21"/>
              </w:rPr>
              <w:t>。</w:t>
            </w:r>
          </w:p>
        </w:tc>
        <w:tc>
          <w:tcPr>
            <w:tcW w:w="6086"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GB 13955-2005《剩余电流动作保护装置安装和运行》第4</w:t>
            </w:r>
            <w:r>
              <w:rPr>
                <w:rFonts w:ascii="宋体" w:hAnsi="宋体" w:cs="宋体"/>
                <w:color w:val="000000"/>
                <w:kern w:val="0"/>
                <w:szCs w:val="21"/>
              </w:rPr>
              <w:t>.4.1</w:t>
            </w:r>
            <w:r>
              <w:rPr>
                <w:rFonts w:hint="eastAsia" w:ascii="宋体" w:hAnsi="宋体" w:cs="宋体"/>
                <w:color w:val="000000"/>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2021.016.01.025</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电气设备类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临时用电未避开易撞、易碰、地面通道、浸水场所等易造成绝缘损坏的危险地方，未能采取必要的保护措施。</w:t>
            </w:r>
          </w:p>
        </w:tc>
        <w:tc>
          <w:tcPr>
            <w:tcW w:w="6086" w:type="dxa"/>
            <w:shd w:val="clear" w:color="auto" w:fill="auto"/>
            <w:tcMar>
              <w:left w:w="0" w:type="dxa"/>
              <w:right w:w="0" w:type="dxa"/>
            </w:tcMar>
            <w:vAlign w:val="center"/>
          </w:tcPr>
          <w:p>
            <w:pPr>
              <w:widowControl/>
              <w:spacing w:line="228" w:lineRule="auto"/>
              <w:rPr>
                <w:rFonts w:ascii="宋体" w:hAnsi="宋体" w:cs="宋体"/>
                <w:color w:val="000000"/>
                <w:kern w:val="0"/>
                <w:szCs w:val="21"/>
              </w:rPr>
            </w:pPr>
            <w:r>
              <w:rPr>
                <w:rFonts w:hint="eastAsia" w:ascii="宋体" w:hAnsi="宋体" w:cs="宋体"/>
                <w:color w:val="000000"/>
                <w:kern w:val="0"/>
                <w:szCs w:val="21"/>
              </w:rPr>
              <w:t>GB 26164.1-2010《电业安全工作规程第1部分：热力和机械》第3.5.6条和第3.6.5.4条；</w:t>
            </w:r>
          </w:p>
          <w:p>
            <w:pPr>
              <w:widowControl/>
              <w:spacing w:line="228" w:lineRule="auto"/>
              <w:rPr>
                <w:rFonts w:ascii="宋体" w:hAnsi="宋体" w:cs="宋体"/>
                <w:color w:val="000000"/>
                <w:kern w:val="0"/>
                <w:szCs w:val="21"/>
              </w:rPr>
            </w:pPr>
            <w:r>
              <w:rPr>
                <w:rFonts w:hint="eastAsia" w:ascii="宋体" w:hAnsi="宋体" w:cs="宋体"/>
                <w:color w:val="000000"/>
                <w:kern w:val="0"/>
                <w:szCs w:val="21"/>
              </w:rPr>
              <w:t>JGJ 46-2005《施工现场临时用电安全技术规范》第7.3.5条；</w:t>
            </w:r>
          </w:p>
          <w:p>
            <w:pPr>
              <w:rPr>
                <w:rFonts w:ascii="宋体" w:hAnsi="宋体" w:cs="Mongolian Baiti"/>
                <w:szCs w:val="21"/>
                <w:lang w:bidi="mn-Mong-CN"/>
              </w:rPr>
            </w:pPr>
            <w:r>
              <w:rPr>
                <w:rFonts w:hint="eastAsia" w:ascii="宋体" w:hAnsi="宋体" w:cs="宋体"/>
                <w:color w:val="000000"/>
                <w:kern w:val="0"/>
                <w:szCs w:val="21"/>
              </w:rPr>
              <w:t>GB 50194-2014《建设工程施工现场供用电安全规范》第7.1.1条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动力（照明）配电箱（柜）型号与电网和负载不符、设置位置影响安全操作、配件缺损、警示标志缺损。</w:t>
            </w:r>
          </w:p>
        </w:tc>
        <w:tc>
          <w:tcPr>
            <w:tcW w:w="6086" w:type="dxa"/>
            <w:shd w:val="clear" w:color="auto" w:fill="auto"/>
            <w:tcMar>
              <w:left w:w="0" w:type="dxa"/>
              <w:right w:w="0" w:type="dxa"/>
            </w:tcMar>
            <w:vAlign w:val="center"/>
          </w:tcPr>
          <w:p>
            <w:pPr>
              <w:adjustRightInd w:val="0"/>
              <w:snapToGrid w:val="0"/>
              <w:rPr>
                <w:rFonts w:ascii="宋体" w:hAnsi="宋体"/>
                <w:szCs w:val="21"/>
              </w:rPr>
            </w:pPr>
            <w:r>
              <w:rPr>
                <w:rFonts w:hint="eastAsia" w:ascii="宋体" w:hAnsi="宋体"/>
                <w:szCs w:val="21"/>
              </w:rPr>
              <w:t>GB</w:t>
            </w:r>
            <w:r>
              <w:rPr>
                <w:rFonts w:ascii="宋体" w:hAnsi="宋体"/>
                <w:szCs w:val="21"/>
              </w:rPr>
              <w:t xml:space="preserve"> </w:t>
            </w:r>
            <w:r>
              <w:rPr>
                <w:rFonts w:hint="eastAsia" w:ascii="宋体" w:hAnsi="宋体"/>
                <w:szCs w:val="21"/>
              </w:rPr>
              <w:t>2894-2008《安全标志及其使用导则》第4.2.3条；</w:t>
            </w:r>
          </w:p>
          <w:p>
            <w:pPr>
              <w:rPr>
                <w:rFonts w:ascii="宋体" w:hAnsi="宋体" w:cs="Mongolian Baiti"/>
                <w:szCs w:val="21"/>
                <w:lang w:bidi="mn-Mong-CN"/>
              </w:rPr>
            </w:pPr>
            <w:r>
              <w:rPr>
                <w:rFonts w:hint="eastAsia" w:ascii="宋体" w:hAnsi="宋体"/>
                <w:szCs w:val="21"/>
              </w:rPr>
              <w:t>GB 50303-2015《建筑电气工程施工质量验收规范》第5.2.10条2款</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adjustRightInd w:val="0"/>
              <w:snapToGrid w:val="0"/>
              <w:rPr>
                <w:rFonts w:ascii="宋体" w:hAnsi="宋体"/>
                <w:szCs w:val="21"/>
              </w:rPr>
            </w:pPr>
            <w:r>
              <w:rPr>
                <w:rFonts w:hint="eastAsia" w:ascii="宋体" w:hAnsi="宋体"/>
                <w:szCs w:val="21"/>
              </w:rPr>
              <w:t>配电箱（柜）周边0.3m内有可燃物，箱（柜）体内和下方搁置和堆放可燃物。</w:t>
            </w:r>
          </w:p>
        </w:tc>
        <w:tc>
          <w:tcPr>
            <w:tcW w:w="6086" w:type="dxa"/>
            <w:shd w:val="clear" w:color="auto" w:fill="auto"/>
            <w:tcMar>
              <w:left w:w="0" w:type="dxa"/>
              <w:right w:w="0" w:type="dxa"/>
            </w:tcMar>
            <w:vAlign w:val="center"/>
          </w:tcPr>
          <w:p>
            <w:pPr>
              <w:adjustRightInd w:val="0"/>
              <w:snapToGrid w:val="0"/>
              <w:rPr>
                <w:rFonts w:ascii="宋体" w:hAnsi="宋体"/>
                <w:szCs w:val="21"/>
              </w:rPr>
            </w:pPr>
            <w:r>
              <w:rPr>
                <w:rFonts w:hint="eastAsia" w:ascii="宋体" w:hAnsi="宋体"/>
                <w:szCs w:val="21"/>
              </w:rPr>
              <w:t>DB11/065-2010《电气防火检测技术规范》第</w:t>
            </w:r>
            <w:r>
              <w:rPr>
                <w:rFonts w:ascii="宋体" w:hAnsi="宋体"/>
                <w:szCs w:val="21"/>
              </w:rPr>
              <w:t>5.5.2.7c）</w:t>
            </w:r>
            <w:r>
              <w:rPr>
                <w:rFonts w:hint="eastAsia" w:ascii="宋体" w:hAnsi="宋体"/>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adjustRightInd w:val="0"/>
              <w:snapToGrid w:val="0"/>
              <w:rPr>
                <w:rFonts w:ascii="宋体" w:hAnsi="宋体"/>
                <w:szCs w:val="21"/>
              </w:rPr>
            </w:pPr>
            <w:r>
              <w:rPr>
                <w:rFonts w:hint="eastAsia" w:ascii="宋体" w:hAnsi="宋体"/>
                <w:szCs w:val="21"/>
              </w:rPr>
              <w:t>灯具与可燃物品的距离不符合下列要求，达不到要求时，未采取隔热、散热措施：</w:t>
            </w:r>
          </w:p>
          <w:p>
            <w:pPr>
              <w:adjustRightInd w:val="0"/>
              <w:snapToGrid w:val="0"/>
              <w:rPr>
                <w:rFonts w:ascii="宋体" w:hAnsi="宋体"/>
                <w:szCs w:val="21"/>
              </w:rPr>
            </w:pPr>
            <w:r>
              <w:rPr>
                <w:rFonts w:ascii="宋体" w:hAnsi="宋体"/>
                <w:szCs w:val="21"/>
              </w:rPr>
              <w:t>a</w:t>
            </w:r>
            <w:r>
              <w:rPr>
                <w:rFonts w:hint="eastAsia" w:ascii="宋体" w:hAnsi="宋体"/>
                <w:szCs w:val="21"/>
              </w:rPr>
              <w:t>）普通灯具不应小于0.</w:t>
            </w:r>
            <w:r>
              <w:rPr>
                <w:rFonts w:ascii="宋体" w:hAnsi="宋体"/>
                <w:szCs w:val="21"/>
              </w:rPr>
              <w:t>3</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rPr>
                <w:rFonts w:ascii="宋体" w:hAnsi="宋体"/>
                <w:szCs w:val="21"/>
              </w:rPr>
            </w:pPr>
            <w:r>
              <w:rPr>
                <w:rFonts w:ascii="宋体" w:hAnsi="宋体"/>
                <w:szCs w:val="21"/>
              </w:rPr>
              <w:t>b</w:t>
            </w:r>
            <w:r>
              <w:rPr>
                <w:rFonts w:hint="eastAsia" w:ascii="宋体" w:hAnsi="宋体"/>
                <w:szCs w:val="21"/>
              </w:rPr>
              <w:t>）高热灯具（聚光灯、碘钨灯等）不应小于0.</w:t>
            </w:r>
            <w:r>
              <w:rPr>
                <w:rFonts w:ascii="宋体" w:hAnsi="宋体"/>
                <w:szCs w:val="21"/>
              </w:rPr>
              <w:t>5</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rPr>
                <w:rFonts w:ascii="宋体" w:hAnsi="宋体"/>
                <w:szCs w:val="21"/>
              </w:rPr>
            </w:pPr>
            <w:r>
              <w:rPr>
                <w:rFonts w:hint="eastAsia" w:ascii="宋体" w:hAnsi="宋体"/>
                <w:szCs w:val="21"/>
              </w:rPr>
              <w:t>c）当容量为100 W ～ 500 W的灯具不应小于0.</w:t>
            </w:r>
            <w:r>
              <w:rPr>
                <w:rFonts w:ascii="宋体" w:hAnsi="宋体"/>
                <w:szCs w:val="21"/>
              </w:rPr>
              <w:t>5</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rPr>
                <w:rFonts w:ascii="宋体" w:hAnsi="宋体"/>
                <w:szCs w:val="21"/>
              </w:rPr>
            </w:pPr>
            <w:r>
              <w:rPr>
                <w:rFonts w:hint="eastAsia" w:ascii="宋体" w:hAnsi="宋体"/>
                <w:szCs w:val="21"/>
              </w:rPr>
              <w:t xml:space="preserve">d）当容量为500 W ～ 2000 W的灯具不应小于0.7 </w:t>
            </w:r>
            <w:r>
              <w:rPr>
                <w:rFonts w:ascii="宋体" w:hAnsi="宋体"/>
                <w:szCs w:val="21"/>
              </w:rPr>
              <w:t>m</w:t>
            </w:r>
            <w:r>
              <w:rPr>
                <w:rFonts w:hint="eastAsia" w:ascii="宋体" w:hAnsi="宋体"/>
                <w:szCs w:val="21"/>
              </w:rPr>
              <w:t>；</w:t>
            </w:r>
          </w:p>
          <w:p>
            <w:pPr>
              <w:adjustRightInd w:val="0"/>
              <w:snapToGrid w:val="0"/>
              <w:rPr>
                <w:rFonts w:ascii="宋体" w:hAnsi="宋体"/>
                <w:szCs w:val="21"/>
              </w:rPr>
            </w:pPr>
            <w:r>
              <w:rPr>
                <w:rFonts w:hint="eastAsia" w:ascii="宋体" w:hAnsi="宋体"/>
                <w:szCs w:val="21"/>
              </w:rPr>
              <w:t xml:space="preserve">e）当容量为2000 W以上的灯具不应小于1.2 </w:t>
            </w:r>
            <w:r>
              <w:rPr>
                <w:rFonts w:ascii="宋体" w:hAnsi="宋体"/>
                <w:szCs w:val="21"/>
              </w:rPr>
              <w:t>m</w:t>
            </w:r>
            <w:r>
              <w:rPr>
                <w:rFonts w:hint="eastAsia" w:ascii="宋体" w:hAnsi="宋体"/>
                <w:szCs w:val="21"/>
              </w:rPr>
              <w:t>。</w:t>
            </w:r>
          </w:p>
        </w:tc>
        <w:tc>
          <w:tcPr>
            <w:tcW w:w="6086" w:type="dxa"/>
            <w:shd w:val="clear" w:color="auto" w:fill="auto"/>
            <w:tcMar>
              <w:left w:w="0" w:type="dxa"/>
              <w:right w:w="0" w:type="dxa"/>
            </w:tcMar>
            <w:vAlign w:val="center"/>
          </w:tcPr>
          <w:p>
            <w:pPr>
              <w:rPr>
                <w:rFonts w:ascii="宋体" w:hAnsi="宋体"/>
                <w:szCs w:val="21"/>
              </w:rPr>
            </w:pPr>
            <w:r>
              <w:rPr>
                <w:rFonts w:hint="eastAsia" w:ascii="宋体" w:hAnsi="宋体" w:cs="宋体"/>
                <w:color w:val="000000"/>
                <w:kern w:val="0"/>
                <w:szCs w:val="21"/>
              </w:rPr>
              <w:t>DB11/065-2010《电气防火检测技术规范》第6.1.2.3条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2021.016.01.029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宋体"/>
                <w:color w:val="000000"/>
                <w:kern w:val="0"/>
                <w:szCs w:val="21"/>
              </w:rPr>
              <w:t>插座、开关没有3C认证标志，未及时更换破损、烧焦的插座、开关。</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《中华人民共和国认证认可条例》第三十条；</w:t>
            </w:r>
          </w:p>
          <w:p>
            <w:pPr>
              <w:rPr>
                <w:rFonts w:ascii="宋体" w:hAnsi="宋体" w:cs="Mongolian Baiti"/>
                <w:szCs w:val="21"/>
                <w:lang w:bidi="mn-Mong-CN"/>
              </w:rPr>
            </w:pPr>
            <w:r>
              <w:rPr>
                <w:rFonts w:hint="eastAsia" w:ascii="宋体" w:hAnsi="宋体" w:cs="宋体"/>
                <w:color w:val="000000"/>
                <w:kern w:val="0"/>
                <w:szCs w:val="21"/>
              </w:rPr>
              <w:t>GB 26164.1-2010《电业安全工作规 第1部分：热力和机械》第3.5.5条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2021.016.01.030</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电气设备类</w:t>
            </w: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插座安装盒吊挂使用，地面插座未紧贴地面，盖板不固定牢固，插座及其电源线靠近可燃物时，未采取隔热、散热等防火保护措施。</w:t>
            </w:r>
          </w:p>
        </w:tc>
        <w:tc>
          <w:tcPr>
            <w:tcW w:w="6086" w:type="dxa"/>
            <w:shd w:val="clear" w:color="auto" w:fill="auto"/>
            <w:tcMar>
              <w:left w:w="0" w:type="dxa"/>
              <w:right w:w="0" w:type="dxa"/>
            </w:tcMar>
            <w:vAlign w:val="center"/>
          </w:tcPr>
          <w:p>
            <w:pPr>
              <w:widowControl/>
              <w:rPr>
                <w:rFonts w:ascii="宋体" w:hAnsi="宋体" w:cs="宋体"/>
                <w:color w:val="000000"/>
                <w:kern w:val="0"/>
                <w:szCs w:val="21"/>
              </w:rPr>
            </w:pPr>
            <w:r>
              <w:rPr>
                <w:rFonts w:hint="eastAsia" w:ascii="宋体" w:hAnsi="宋体" w:cs="宋体"/>
                <w:color w:val="000000"/>
                <w:kern w:val="0"/>
                <w:szCs w:val="21"/>
              </w:rPr>
              <w:t>DB11/065-2010《电气防火检测技术规范》第5.4.1条</w:t>
            </w:r>
            <w:r>
              <w:rPr>
                <w:rFonts w:ascii="宋体" w:hAnsi="宋体" w:cs="宋体"/>
                <w:color w:val="000000"/>
                <w:kern w:val="0"/>
                <w:szCs w:val="21"/>
              </w:rPr>
              <w:t>b</w:t>
            </w:r>
            <w:r>
              <w:rPr>
                <w:rFonts w:hint="eastAsia" w:ascii="宋体" w:hAnsi="宋体" w:cs="宋体"/>
                <w:color w:val="000000"/>
                <w:kern w:val="0"/>
                <w:szCs w:val="21"/>
              </w:rPr>
              <w:t>）款、</w:t>
            </w:r>
            <w:r>
              <w:rPr>
                <w:rFonts w:ascii="宋体" w:hAnsi="宋体" w:cs="宋体"/>
                <w:color w:val="000000"/>
                <w:kern w:val="0"/>
                <w:szCs w:val="21"/>
              </w:rPr>
              <w:t>c</w:t>
            </w:r>
            <w:r>
              <w:rPr>
                <w:rFonts w:hint="eastAsia" w:ascii="宋体" w:hAnsi="宋体" w:cs="宋体"/>
                <w:color w:val="000000"/>
                <w:kern w:val="0"/>
                <w:szCs w:val="21"/>
              </w:rPr>
              <w:t>）款、</w:t>
            </w:r>
            <w:r>
              <w:rPr>
                <w:rFonts w:ascii="宋体" w:hAnsi="宋体" w:cs="宋体"/>
                <w:color w:val="000000"/>
                <w:kern w:val="0"/>
                <w:szCs w:val="21"/>
              </w:rPr>
              <w:t>d</w:t>
            </w:r>
            <w:r>
              <w:rPr>
                <w:rFonts w:hint="eastAsia" w:ascii="宋体" w:hAnsi="宋体" w:cs="宋体"/>
                <w:color w:val="000000"/>
                <w:kern w:val="0"/>
                <w:szCs w:val="21"/>
              </w:rPr>
              <w:t>）款、f）款</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移动式插座放置在可燃物上或被可燃物覆盖；串接使用；超负荷使用；插孔的双头插头和三头插头未分开。</w:t>
            </w:r>
          </w:p>
        </w:tc>
        <w:tc>
          <w:tcPr>
            <w:tcW w:w="6086"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DB11/065-2010《电气防火检测技术规范》第5.4.1条</w:t>
            </w:r>
            <w:r>
              <w:rPr>
                <w:rFonts w:ascii="宋体" w:hAnsi="宋体" w:cs="宋体"/>
                <w:color w:val="000000"/>
                <w:kern w:val="0"/>
                <w:szCs w:val="21"/>
              </w:rPr>
              <w:t>k</w:t>
            </w:r>
            <w:r>
              <w:rPr>
                <w:rFonts w:hint="eastAsia" w:ascii="宋体" w:hAnsi="宋体" w:cs="宋体"/>
                <w:color w:val="000000"/>
                <w:kern w:val="0"/>
                <w:szCs w:val="21"/>
              </w:rPr>
              <w:t>）款</w:t>
            </w:r>
          </w:p>
          <w:p>
            <w:pPr>
              <w:widowControl/>
              <w:rPr>
                <w:rFonts w:ascii="宋体" w:hAnsi="宋体" w:cs="宋体"/>
                <w:color w:val="000000"/>
                <w:kern w:val="0"/>
                <w:szCs w:val="21"/>
              </w:rPr>
            </w:pPr>
            <w:r>
              <w:rPr>
                <w:rFonts w:hint="eastAsia" w:ascii="宋体" w:hAnsi="宋体" w:cs="宋体"/>
                <w:color w:val="000000"/>
                <w:kern w:val="0"/>
                <w:szCs w:val="21"/>
              </w:rPr>
              <w:t>GB</w:t>
            </w:r>
            <w:r>
              <w:rPr>
                <w:rFonts w:ascii="宋体" w:hAnsi="宋体" w:cs="宋体"/>
                <w:color w:val="000000"/>
                <w:kern w:val="0"/>
                <w:szCs w:val="21"/>
              </w:rPr>
              <w:t xml:space="preserve"> </w:t>
            </w:r>
            <w:r>
              <w:rPr>
                <w:rFonts w:hint="eastAsia" w:ascii="宋体" w:hAnsi="宋体" w:cs="宋体"/>
                <w:color w:val="000000"/>
                <w:kern w:val="0"/>
                <w:szCs w:val="21"/>
              </w:rPr>
              <w:t>2099.3-2015《家用和类似用途插头插座 第2-5部分：转换器的特殊要求》第9.1条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其他设备设施类</w:t>
            </w:r>
          </w:p>
        </w:tc>
        <w:tc>
          <w:tcPr>
            <w:tcW w:w="3113"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宋体"/>
                <w:color w:val="000000"/>
                <w:kern w:val="0"/>
                <w:szCs w:val="21"/>
              </w:rPr>
              <w:t>未配备医疗器材、急救药品。</w:t>
            </w:r>
          </w:p>
        </w:tc>
        <w:tc>
          <w:tcPr>
            <w:tcW w:w="6086" w:type="dxa"/>
            <w:shd w:val="clear" w:color="auto" w:fill="auto"/>
            <w:tcMar>
              <w:left w:w="0" w:type="dxa"/>
              <w:right w:w="0" w:type="dxa"/>
            </w:tcMar>
            <w:vAlign w:val="center"/>
          </w:tcPr>
          <w:p>
            <w:pPr>
              <w:rPr>
                <w:rFonts w:ascii="宋体" w:hAnsi="宋体" w:cs="宋体"/>
                <w:color w:val="000000"/>
                <w:kern w:val="0"/>
                <w:szCs w:val="21"/>
              </w:rPr>
            </w:pPr>
            <w:r>
              <w:rPr>
                <w:rFonts w:hint="eastAsia" w:ascii="宋体" w:hAnsi="宋体" w:cs="Mongolian Baiti"/>
                <w:szCs w:val="21"/>
                <w:lang w:bidi="mn-Mong-CN"/>
              </w:rPr>
              <w:t>DB</w:t>
            </w:r>
            <w:r>
              <w:rPr>
                <w:rFonts w:ascii="宋体" w:hAnsi="宋体" w:cs="Mongolian Baiti"/>
                <w:szCs w:val="21"/>
                <w:lang w:bidi="mn-Mong-CN"/>
              </w:rPr>
              <w:t>11/ 410-2007</w:t>
            </w:r>
            <w:r>
              <w:rPr>
                <w:rFonts w:hint="eastAsia" w:ascii="宋体" w:hAnsi="宋体" w:cs="Mongolian Baiti"/>
                <w:szCs w:val="21"/>
                <w:lang w:bidi="mn-Mong-CN"/>
              </w:rPr>
              <w:t>《体育场所安全管理规范》</w:t>
            </w:r>
            <w:r>
              <w:rPr>
                <w:rFonts w:hint="eastAsia" w:ascii="宋体" w:hAnsi="宋体" w:cs="宋体"/>
                <w:color w:val="000000"/>
                <w:kern w:val="0"/>
                <w:szCs w:val="21"/>
              </w:rPr>
              <w:t>第5</w:t>
            </w:r>
            <w:r>
              <w:rPr>
                <w:rFonts w:ascii="宋体" w:hAnsi="宋体" w:cs="宋体"/>
                <w:color w:val="000000"/>
                <w:kern w:val="0"/>
                <w:szCs w:val="21"/>
              </w:rPr>
              <w:t>.2.7</w:t>
            </w:r>
            <w:r>
              <w:rPr>
                <w:rFonts w:hint="eastAsia" w:ascii="宋体" w:hAnsi="宋体" w:cs="宋体"/>
                <w:color w:val="000000"/>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2021.016.01.033</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人员类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操作行为类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Arial"/>
                <w:color w:val="333333"/>
                <w:szCs w:val="21"/>
                <w:shd w:val="clear" w:color="auto" w:fill="FFFFFF"/>
              </w:rPr>
              <w:t>未</w:t>
            </w:r>
            <w:r>
              <w:rPr>
                <w:rFonts w:ascii="宋体" w:hAnsi="宋体" w:cs="Arial"/>
                <w:color w:val="333333"/>
                <w:szCs w:val="21"/>
                <w:shd w:val="clear" w:color="auto" w:fill="FFFFFF"/>
              </w:rPr>
              <w:t>在每日营业开始前和结束后，对营业区域进行全面安全检查；营业期间每2小时进安全巡查</w:t>
            </w:r>
            <w:r>
              <w:rPr>
                <w:rFonts w:hint="eastAsia" w:ascii="宋体" w:hAnsi="宋体" w:cs="Arial"/>
                <w:color w:val="333333"/>
                <w:szCs w:val="21"/>
                <w:shd w:val="clear" w:color="auto" w:fill="FFFFFF"/>
              </w:rPr>
              <w:t>次数少于1次</w:t>
            </w:r>
            <w:r>
              <w:rPr>
                <w:rFonts w:ascii="宋体" w:hAnsi="宋体" w:cs="Arial"/>
                <w:color w:val="333333"/>
                <w:szCs w:val="21"/>
                <w:shd w:val="clear" w:color="auto" w:fill="FFFFFF"/>
              </w:rPr>
              <w:t>。检查和巡查</w:t>
            </w:r>
            <w:r>
              <w:rPr>
                <w:rFonts w:hint="eastAsia" w:ascii="宋体" w:hAnsi="宋体" w:cs="Arial"/>
                <w:color w:val="333333"/>
                <w:szCs w:val="21"/>
                <w:shd w:val="clear" w:color="auto" w:fill="FFFFFF"/>
              </w:rPr>
              <w:t>未</w:t>
            </w:r>
            <w:r>
              <w:rPr>
                <w:rFonts w:ascii="宋体" w:hAnsi="宋体" w:cs="Arial"/>
                <w:color w:val="333333"/>
                <w:szCs w:val="21"/>
                <w:shd w:val="clear" w:color="auto" w:fill="FFFFFF"/>
              </w:rPr>
              <w:t>做好记录。</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《北京市体育运动项目经营单位安全生产规定》第十二条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个体防护用品使用类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未向从业人员提供符合国家标准或者行业标准的劳动防护用品。</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《中华人民共和国安全生产法》第四十五条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2021.016.01.035</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场所环境类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建（构）筑物类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健身房无通风排气装置。</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GB</w:t>
            </w:r>
            <w:r>
              <w:rPr>
                <w:rFonts w:ascii="宋体" w:hAnsi="宋体" w:cs="Mongolian Baiti"/>
                <w:szCs w:val="21"/>
                <w:lang w:bidi="mn-Mong-CN"/>
              </w:rPr>
              <w:t>/T 18266.2-2002</w:t>
            </w:r>
            <w:r>
              <w:rPr>
                <w:rFonts w:hint="eastAsia" w:ascii="宋体" w:hAnsi="宋体" w:cs="Mongolian Baiti"/>
                <w:szCs w:val="21"/>
                <w:lang w:bidi="mn-Mong-CN"/>
              </w:rPr>
              <w:t>《体育场所等级的划分 第2部分：健身房星级的划分及评定》第6</w:t>
            </w:r>
            <w:r>
              <w:rPr>
                <w:rFonts w:ascii="宋体" w:hAnsi="宋体" w:cs="Mongolian Baiti"/>
                <w:szCs w:val="21"/>
                <w:lang w:bidi="mn-Mong-CN"/>
              </w:rPr>
              <w:t>.1.1</w:t>
            </w:r>
            <w:r>
              <w:rPr>
                <w:rFonts w:hint="eastAsia" w:ascii="宋体" w:hAnsi="宋体" w:cs="Mongolian Baiti"/>
                <w:szCs w:val="21"/>
                <w:lang w:bidi="mn-Mong-CN"/>
              </w:rPr>
              <w:t>条f）、第6</w:t>
            </w:r>
            <w:r>
              <w:rPr>
                <w:rFonts w:ascii="宋体" w:hAnsi="宋体" w:cs="Mongolian Baiti"/>
                <w:szCs w:val="21"/>
                <w:lang w:bidi="mn-Mong-CN"/>
              </w:rPr>
              <w:t>.2.1</w:t>
            </w:r>
            <w:r>
              <w:rPr>
                <w:rFonts w:hint="eastAsia" w:ascii="宋体" w:hAnsi="宋体" w:cs="Mongolian Baiti"/>
                <w:szCs w:val="21"/>
                <w:lang w:bidi="mn-Mong-CN"/>
              </w:rPr>
              <w:t>条f）、第6</w:t>
            </w:r>
            <w:r>
              <w:rPr>
                <w:rFonts w:ascii="宋体" w:hAnsi="宋体" w:cs="Mongolian Baiti"/>
                <w:szCs w:val="21"/>
                <w:lang w:bidi="mn-Mong-CN"/>
              </w:rPr>
              <w:t>.3.1</w:t>
            </w:r>
            <w:r>
              <w:rPr>
                <w:rFonts w:hint="eastAsia" w:ascii="宋体" w:hAnsi="宋体" w:cs="Mongolian Baiti"/>
                <w:szCs w:val="21"/>
                <w:lang w:bidi="mn-Mong-CN"/>
              </w:rPr>
              <w:t>条f）、第6</w:t>
            </w:r>
            <w:r>
              <w:rPr>
                <w:rFonts w:ascii="宋体" w:hAnsi="宋体" w:cs="Mongolian Baiti"/>
                <w:szCs w:val="21"/>
                <w:lang w:bidi="mn-Mong-CN"/>
              </w:rPr>
              <w:t>.4.1</w:t>
            </w:r>
            <w:r>
              <w:rPr>
                <w:rFonts w:hint="eastAsia" w:ascii="宋体" w:hAnsi="宋体" w:cs="Mongolian Baiti"/>
                <w:szCs w:val="21"/>
                <w:lang w:bidi="mn-Mong-CN"/>
              </w:rPr>
              <w:t>条e）、第6</w:t>
            </w:r>
            <w:r>
              <w:rPr>
                <w:rFonts w:ascii="宋体" w:hAnsi="宋体" w:cs="Mongolian Baiti"/>
                <w:szCs w:val="21"/>
                <w:lang w:bidi="mn-Mong-CN"/>
              </w:rPr>
              <w:t>.5.1</w:t>
            </w:r>
            <w:r>
              <w:rPr>
                <w:rFonts w:hint="eastAsia" w:ascii="宋体" w:hAnsi="宋体" w:cs="Mongolian Baiti"/>
                <w:szCs w:val="21"/>
                <w:lang w:bidi="mn-Mong-CN"/>
              </w:rPr>
              <w:t>条e）</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安全出口及疏散通道类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安全出口被占封闭、堵塞；安全出口处设置门槛。</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《北京市体育运动项目经营单位安全生产规定》第十六条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疏散门未向疏散方向开启，采用卷帘门、转门、吊门、侧拉门。门内和门外1.4米范围内设置踏步。</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《北京市体育运动项目经营单位安全生产规定》第十六条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2021.016.01.038</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场所环境类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标志及标识类</w:t>
            </w: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未设立醒目的向导指示图，未标明场区范围及服务内容位置。</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DB</w:t>
            </w:r>
            <w:r>
              <w:rPr>
                <w:rFonts w:ascii="宋体" w:hAnsi="宋体" w:cs="Mongolian Baiti"/>
                <w:szCs w:val="21"/>
                <w:lang w:bidi="mn-Mong-CN"/>
              </w:rPr>
              <w:t>11/ 410-2007</w:t>
            </w:r>
            <w:r>
              <w:rPr>
                <w:rFonts w:hint="eastAsia" w:ascii="宋体" w:hAnsi="宋体" w:cs="Mongolian Baiti"/>
                <w:szCs w:val="21"/>
                <w:lang w:bidi="mn-Mong-CN"/>
              </w:rPr>
              <w:t>《体育场所安全管理规范》第5</w:t>
            </w:r>
            <w:r>
              <w:rPr>
                <w:rFonts w:ascii="宋体" w:hAnsi="宋体" w:cs="Mongolian Baiti"/>
                <w:szCs w:val="21"/>
                <w:lang w:bidi="mn-Mong-CN"/>
              </w:rPr>
              <w:t>.2.1</w:t>
            </w:r>
            <w:r>
              <w:rPr>
                <w:rFonts w:hint="eastAsia" w:ascii="宋体" w:hAnsi="宋体" w:cs="Mongolian Baiti"/>
                <w:szCs w:val="21"/>
                <w:lang w:bidi="mn-Mong-CN"/>
              </w:rPr>
              <w:t>条b）</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2021.016.01.039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营业区域内落地式的玻璃门、玻璃窗、玻璃墙未设置安全警示标志。</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《北京市体育运动项目经营单位安全生产规定》第二十条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ascii="Times New Roman" w:hAnsi="Times New Roman"/>
                <w:kern w:val="0"/>
                <w:szCs w:val="21"/>
                <w:lang w:bidi="mn-Mong-CN"/>
              </w:rPr>
              <w:t>2021.016.01.040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营业区域内的安全出口和疏散通道及其转角处未设置发光疏散指示标志，或设置的疏散指示标志不符合标准规范。</w:t>
            </w:r>
          </w:p>
        </w:tc>
        <w:tc>
          <w:tcPr>
            <w:tcW w:w="6086" w:type="dxa"/>
            <w:shd w:val="clear" w:color="auto" w:fill="auto"/>
            <w:tcMar>
              <w:left w:w="0" w:type="dxa"/>
              <w:right w:w="0" w:type="dxa"/>
            </w:tcMar>
            <w:vAlign w:val="center"/>
          </w:tcPr>
          <w:p>
            <w:pPr>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《北京市体育运动项目经营单位安全生产规定》第十八条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bl>
    <w:p/>
    <w:sectPr>
      <w:footerReference r:id="rId3" w:type="default"/>
      <w:pgSz w:w="16838" w:h="11906" w:orient="landscape"/>
      <w:pgMar w:top="1800" w:right="1440" w:bottom="1800" w:left="1440" w:header="851" w:footer="992" w:gutter="0"/>
      <w:pgNumType w:fmt="numberInDash" w:start="1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Mongolian Baiti">
    <w:altName w:val="DejaVu Math TeX Gyre"/>
    <w:panose1 w:val="03000500000000000000"/>
    <w:charset w:val="00"/>
    <w:family w:val="script"/>
    <w:pitch w:val="default"/>
    <w:sig w:usb0="00000000" w:usb1="00000000" w:usb2="00020000" w:usb3="00000000" w:csb0="00000001" w:csb1="00000000"/>
  </w:font>
  <w:font w:name="Arial">
    <w:altName w:val="DejaVu Sans"/>
    <w:panose1 w:val="020B0604020202020204"/>
    <w:charset w:val="00"/>
    <w:family w:val="swiss"/>
    <w:pitch w:val="default"/>
    <w:sig w:usb0="00000000" w:usb1="00000000" w:usb2="00000009" w:usb3="00000000" w:csb0="000001FF"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Math TeX Gyre">
    <w:panose1 w:val="02000503000000000000"/>
    <w:charset w:val="00"/>
    <w:family w:val="auto"/>
    <w:pitch w:val="default"/>
    <w:sig w:usb0="A10000EF" w:usb1="4201F9EE" w:usb2="02000000" w:usb3="00000000" w:csb0="60000193" w:csb1="0DD4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方正小标宋_GBK" w:hAnsi="方正小标宋_GBK" w:eastAsia="方正小标宋_GBK" w:cs="方正小标宋_GBK"/>
                              <w:sz w:val="21"/>
                              <w:szCs w:val="21"/>
                            </w:rPr>
                            <w:fldChar w:fldCharType="begin"/>
                          </w:r>
                          <w:r>
                            <w:rPr>
                              <w:rFonts w:hint="eastAsia" w:ascii="方正小标宋_GBK" w:hAnsi="方正小标宋_GBK" w:eastAsia="方正小标宋_GBK" w:cs="方正小标宋_GBK"/>
                              <w:sz w:val="21"/>
                              <w:szCs w:val="21"/>
                            </w:rPr>
                            <w:instrText xml:space="preserve"> PAGE  \* MERGEFORMAT </w:instrText>
                          </w:r>
                          <w:r>
                            <w:rPr>
                              <w:rFonts w:hint="eastAsia" w:ascii="方正小标宋_GBK" w:hAnsi="方正小标宋_GBK" w:eastAsia="方正小标宋_GBK" w:cs="方正小标宋_GBK"/>
                              <w:sz w:val="21"/>
                              <w:szCs w:val="21"/>
                            </w:rPr>
                            <w:fldChar w:fldCharType="separate"/>
                          </w:r>
                          <w:r>
                            <w:rPr>
                              <w:rFonts w:hint="eastAsia" w:ascii="方正小标宋_GBK" w:hAnsi="方正小标宋_GBK" w:eastAsia="方正小标宋_GBK" w:cs="方正小标宋_GBK"/>
                              <w:sz w:val="21"/>
                              <w:szCs w:val="21"/>
                            </w:rPr>
                            <w:t>1</w:t>
                          </w:r>
                          <w:r>
                            <w:rPr>
                              <w:rFonts w:hint="eastAsia" w:ascii="方正小标宋_GBK" w:hAnsi="方正小标宋_GBK" w:eastAsia="方正小标宋_GBK" w:cs="方正小标宋_GBK"/>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r>
                      <w:rPr>
                        <w:rFonts w:hint="eastAsia" w:ascii="方正小标宋_GBK" w:hAnsi="方正小标宋_GBK" w:eastAsia="方正小标宋_GBK" w:cs="方正小标宋_GBK"/>
                        <w:sz w:val="21"/>
                        <w:szCs w:val="21"/>
                      </w:rPr>
                      <w:fldChar w:fldCharType="begin"/>
                    </w:r>
                    <w:r>
                      <w:rPr>
                        <w:rFonts w:hint="eastAsia" w:ascii="方正小标宋_GBK" w:hAnsi="方正小标宋_GBK" w:eastAsia="方正小标宋_GBK" w:cs="方正小标宋_GBK"/>
                        <w:sz w:val="21"/>
                        <w:szCs w:val="21"/>
                      </w:rPr>
                      <w:instrText xml:space="preserve"> PAGE  \* MERGEFORMAT </w:instrText>
                    </w:r>
                    <w:r>
                      <w:rPr>
                        <w:rFonts w:hint="eastAsia" w:ascii="方正小标宋_GBK" w:hAnsi="方正小标宋_GBK" w:eastAsia="方正小标宋_GBK" w:cs="方正小标宋_GBK"/>
                        <w:sz w:val="21"/>
                        <w:szCs w:val="21"/>
                      </w:rPr>
                      <w:fldChar w:fldCharType="separate"/>
                    </w:r>
                    <w:r>
                      <w:rPr>
                        <w:rFonts w:hint="eastAsia" w:ascii="方正小标宋_GBK" w:hAnsi="方正小标宋_GBK" w:eastAsia="方正小标宋_GBK" w:cs="方正小标宋_GBK"/>
                        <w:sz w:val="21"/>
                        <w:szCs w:val="21"/>
                      </w:rPr>
                      <w:t>1</w:t>
                    </w:r>
                    <w:r>
                      <w:rPr>
                        <w:rFonts w:hint="eastAsia" w:ascii="方正小标宋_GBK" w:hAnsi="方正小标宋_GBK" w:eastAsia="方正小标宋_GBK" w:cs="方正小标宋_GBK"/>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C50F90"/>
    <w:multiLevelType w:val="multilevel"/>
    <w:tmpl w:val="44C50F90"/>
    <w:lvl w:ilvl="0" w:tentative="0">
      <w:start w:val="1"/>
      <w:numFmt w:val="lowerLetter"/>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14"/>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
    <w:nsid w:val="60B55DC2"/>
    <w:multiLevelType w:val="multilevel"/>
    <w:tmpl w:val="60B55DC2"/>
    <w:lvl w:ilvl="0" w:tentative="0">
      <w:start w:val="1"/>
      <w:numFmt w:val="upperLetter"/>
      <w:pStyle w:val="11"/>
      <w:lvlText w:val="%1"/>
      <w:lvlJc w:val="left"/>
      <w:pPr>
        <w:tabs>
          <w:tab w:val="left" w:pos="0"/>
        </w:tabs>
        <w:ind w:left="0" w:hanging="425"/>
      </w:pPr>
      <w:rPr>
        <w:rFonts w:hint="eastAsia"/>
      </w:rPr>
    </w:lvl>
    <w:lvl w:ilvl="1" w:tentative="0">
      <w:start w:val="1"/>
      <w:numFmt w:val="decimal"/>
      <w:pStyle w:val="1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759"/>
    <w:rsid w:val="00061FEC"/>
    <w:rsid w:val="00065556"/>
    <w:rsid w:val="00087BDE"/>
    <w:rsid w:val="00093204"/>
    <w:rsid w:val="000C7CDD"/>
    <w:rsid w:val="000F22A5"/>
    <w:rsid w:val="00103889"/>
    <w:rsid w:val="00110B24"/>
    <w:rsid w:val="00111BC5"/>
    <w:rsid w:val="00115D6B"/>
    <w:rsid w:val="001333D4"/>
    <w:rsid w:val="001346E4"/>
    <w:rsid w:val="00135D08"/>
    <w:rsid w:val="001431CE"/>
    <w:rsid w:val="00143F9C"/>
    <w:rsid w:val="001A2919"/>
    <w:rsid w:val="001C0FDA"/>
    <w:rsid w:val="001C4E29"/>
    <w:rsid w:val="001F0310"/>
    <w:rsid w:val="001F3513"/>
    <w:rsid w:val="00210CC2"/>
    <w:rsid w:val="00220B81"/>
    <w:rsid w:val="002249AF"/>
    <w:rsid w:val="00242191"/>
    <w:rsid w:val="00244291"/>
    <w:rsid w:val="0025122F"/>
    <w:rsid w:val="00290C28"/>
    <w:rsid w:val="00291247"/>
    <w:rsid w:val="002B4419"/>
    <w:rsid w:val="002C0F84"/>
    <w:rsid w:val="002D41DF"/>
    <w:rsid w:val="002E1DA6"/>
    <w:rsid w:val="002E5432"/>
    <w:rsid w:val="002F2AD5"/>
    <w:rsid w:val="0038020F"/>
    <w:rsid w:val="00395D20"/>
    <w:rsid w:val="00432DEC"/>
    <w:rsid w:val="00453DF7"/>
    <w:rsid w:val="00461BDC"/>
    <w:rsid w:val="004657B2"/>
    <w:rsid w:val="004A09D9"/>
    <w:rsid w:val="004A7AB8"/>
    <w:rsid w:val="004D30B4"/>
    <w:rsid w:val="004D5AAE"/>
    <w:rsid w:val="004E73B0"/>
    <w:rsid w:val="00503A1D"/>
    <w:rsid w:val="00524268"/>
    <w:rsid w:val="00525297"/>
    <w:rsid w:val="00587FA9"/>
    <w:rsid w:val="00595A6B"/>
    <w:rsid w:val="005A1589"/>
    <w:rsid w:val="005D28A3"/>
    <w:rsid w:val="005E02D0"/>
    <w:rsid w:val="005E7EDD"/>
    <w:rsid w:val="005F5A67"/>
    <w:rsid w:val="00605488"/>
    <w:rsid w:val="006403E3"/>
    <w:rsid w:val="00642520"/>
    <w:rsid w:val="0067310E"/>
    <w:rsid w:val="0068160F"/>
    <w:rsid w:val="00684506"/>
    <w:rsid w:val="006E54F6"/>
    <w:rsid w:val="0073794C"/>
    <w:rsid w:val="00750752"/>
    <w:rsid w:val="00766033"/>
    <w:rsid w:val="007725AB"/>
    <w:rsid w:val="00791F25"/>
    <w:rsid w:val="007A53F2"/>
    <w:rsid w:val="007D13F5"/>
    <w:rsid w:val="007E47E1"/>
    <w:rsid w:val="0083456A"/>
    <w:rsid w:val="00844DDB"/>
    <w:rsid w:val="008B593C"/>
    <w:rsid w:val="008C28AB"/>
    <w:rsid w:val="00915D8C"/>
    <w:rsid w:val="00933426"/>
    <w:rsid w:val="0095141B"/>
    <w:rsid w:val="0099584C"/>
    <w:rsid w:val="009F4A58"/>
    <w:rsid w:val="00A06436"/>
    <w:rsid w:val="00A0716D"/>
    <w:rsid w:val="00A22AC1"/>
    <w:rsid w:val="00A34473"/>
    <w:rsid w:val="00A670C9"/>
    <w:rsid w:val="00A76759"/>
    <w:rsid w:val="00A917BC"/>
    <w:rsid w:val="00AA7333"/>
    <w:rsid w:val="00AD3481"/>
    <w:rsid w:val="00B200E7"/>
    <w:rsid w:val="00B31663"/>
    <w:rsid w:val="00B52CCA"/>
    <w:rsid w:val="00B6398B"/>
    <w:rsid w:val="00B93982"/>
    <w:rsid w:val="00B94326"/>
    <w:rsid w:val="00BD4B25"/>
    <w:rsid w:val="00BF6584"/>
    <w:rsid w:val="00C522E8"/>
    <w:rsid w:val="00C559F0"/>
    <w:rsid w:val="00C6269B"/>
    <w:rsid w:val="00C62E0B"/>
    <w:rsid w:val="00C72B45"/>
    <w:rsid w:val="00C82A0F"/>
    <w:rsid w:val="00CB796C"/>
    <w:rsid w:val="00CE52CC"/>
    <w:rsid w:val="00CE5C11"/>
    <w:rsid w:val="00CF2302"/>
    <w:rsid w:val="00D018E3"/>
    <w:rsid w:val="00D06247"/>
    <w:rsid w:val="00D115A0"/>
    <w:rsid w:val="00D2006E"/>
    <w:rsid w:val="00D83A62"/>
    <w:rsid w:val="00D95551"/>
    <w:rsid w:val="00DA1CCE"/>
    <w:rsid w:val="00DA1D0E"/>
    <w:rsid w:val="00DC132C"/>
    <w:rsid w:val="00DC4998"/>
    <w:rsid w:val="00DF3F81"/>
    <w:rsid w:val="00E05B1F"/>
    <w:rsid w:val="00E14CE5"/>
    <w:rsid w:val="00E15D3A"/>
    <w:rsid w:val="00E41C2C"/>
    <w:rsid w:val="00E43DD2"/>
    <w:rsid w:val="00E47C41"/>
    <w:rsid w:val="00E673FC"/>
    <w:rsid w:val="00EA2EA0"/>
    <w:rsid w:val="00ED7920"/>
    <w:rsid w:val="00EF4D47"/>
    <w:rsid w:val="00F066FD"/>
    <w:rsid w:val="00F20765"/>
    <w:rsid w:val="00F373D4"/>
    <w:rsid w:val="00F41BBF"/>
    <w:rsid w:val="00FA529D"/>
    <w:rsid w:val="00FD2A9C"/>
    <w:rsid w:val="5AF30DD5"/>
    <w:rsid w:val="5B7FE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段"/>
    <w:link w:val="1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0">
    <w:name w:val="段 Char"/>
    <w:basedOn w:val="5"/>
    <w:link w:val="9"/>
    <w:qFormat/>
    <w:uiPriority w:val="0"/>
    <w:rPr>
      <w:rFonts w:ascii="宋体" w:hAnsi="Times New Roman" w:eastAsia="宋体" w:cs="Times New Roman"/>
      <w:kern w:val="0"/>
      <w:szCs w:val="20"/>
    </w:rPr>
  </w:style>
  <w:style w:type="paragraph" w:customStyle="1" w:styleId="11">
    <w:name w:val="附录表标号"/>
    <w:basedOn w:val="1"/>
    <w:next w:val="9"/>
    <w:qFormat/>
    <w:uiPriority w:val="0"/>
    <w:pPr>
      <w:numPr>
        <w:ilvl w:val="0"/>
        <w:numId w:val="1"/>
      </w:numPr>
      <w:tabs>
        <w:tab w:val="clear" w:pos="0"/>
      </w:tabs>
      <w:spacing w:line="14" w:lineRule="exact"/>
      <w:ind w:left="811" w:hanging="448"/>
      <w:jc w:val="center"/>
      <w:outlineLvl w:val="0"/>
    </w:pPr>
    <w:rPr>
      <w:rFonts w:ascii="Times New Roman" w:hAnsi="Times New Roman"/>
      <w:color w:val="FFFFFF"/>
      <w:szCs w:val="24"/>
    </w:rPr>
  </w:style>
  <w:style w:type="paragraph" w:customStyle="1" w:styleId="12">
    <w:name w:val="附录表标题"/>
    <w:basedOn w:val="1"/>
    <w:next w:val="9"/>
    <w:qFormat/>
    <w:uiPriority w:val="0"/>
    <w:pPr>
      <w:numPr>
        <w:ilvl w:val="1"/>
        <w:numId w:val="1"/>
      </w:numPr>
      <w:tabs>
        <w:tab w:val="left" w:pos="180"/>
      </w:tabs>
      <w:spacing w:beforeLines="50" w:afterLines="50"/>
      <w:ind w:left="0" w:firstLine="0"/>
      <w:jc w:val="center"/>
    </w:pPr>
    <w:rPr>
      <w:rFonts w:ascii="黑体" w:hAnsi="Times New Roman" w:eastAsia="黑体"/>
      <w:szCs w:val="21"/>
    </w:rPr>
  </w:style>
  <w:style w:type="paragraph" w:customStyle="1" w:styleId="13">
    <w:name w:val="字母编号列项（一级）"/>
    <w:qFormat/>
    <w:uiPriority w:val="0"/>
    <w:pPr>
      <w:tabs>
        <w:tab w:val="left" w:pos="0"/>
        <w:tab w:val="left" w:pos="839"/>
      </w:tabs>
      <w:ind w:hanging="425"/>
      <w:jc w:val="both"/>
    </w:pPr>
    <w:rPr>
      <w:rFonts w:ascii="宋体" w:hAnsi="Times New Roman" w:eastAsia="宋体" w:cs="Times New Roman"/>
      <w:kern w:val="0"/>
      <w:sz w:val="21"/>
      <w:szCs w:val="20"/>
      <w:lang w:val="en-US" w:eastAsia="zh-CN" w:bidi="ar-SA"/>
    </w:rPr>
  </w:style>
  <w:style w:type="paragraph" w:customStyle="1" w:styleId="14">
    <w:name w:val="二级条标题"/>
    <w:basedOn w:val="1"/>
    <w:next w:val="1"/>
    <w:qFormat/>
    <w:uiPriority w:val="0"/>
    <w:pPr>
      <w:widowControl/>
      <w:numPr>
        <w:ilvl w:val="2"/>
        <w:numId w:val="2"/>
      </w:numPr>
      <w:spacing w:before="50" w:beforeLines="50" w:after="50" w:afterLines="50"/>
      <w:jc w:val="left"/>
      <w:outlineLvl w:val="3"/>
    </w:pPr>
    <w:rPr>
      <w:rFonts w:ascii="黑体" w:hAnsi="Times New Roman" w:eastAsia="黑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740</Words>
  <Characters>4220</Characters>
  <Lines>35</Lines>
  <Paragraphs>9</Paragraphs>
  <TotalTime>605</TotalTime>
  <ScaleCrop>false</ScaleCrop>
  <LinksUpToDate>false</LinksUpToDate>
  <CharactersWithSpaces>4951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2021-08-12T16:18:00Z</dcterms:created>
  <dc:creator>249169383@qq.com</dc:creator>
  <cp:lastModifiedBy>tyj</cp:lastModifiedBy>
  <dcterms:modified xsi:type="dcterms:W3CDTF">2021-11-25T14:34:30Z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