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textAlignment w:val="baseline"/>
        <w:rPr>
          <w:rFonts w:ascii="方正小标宋简体" w:eastAsia="方正小标宋简体"/>
          <w:sz w:val="44"/>
          <w:szCs w:val="44"/>
          <w:highlight w:val="none"/>
          <w:u w:val="single"/>
        </w:rPr>
      </w:pPr>
      <w:r>
        <w:rPr>
          <w:rFonts w:hint="eastAsia" w:ascii="方正小标宋简体" w:eastAsia="方正小标宋简体"/>
          <w:sz w:val="44"/>
          <w:szCs w:val="44"/>
          <w:highlight w:val="none"/>
        </w:rPr>
        <w:t>体育生活化 健康新东城</w:t>
      </w:r>
    </w:p>
    <w:p>
      <w:pPr>
        <w:spacing w:line="560" w:lineRule="exact"/>
        <w:jc w:val="center"/>
        <w:textAlignment w:val="baseline"/>
        <w:rPr>
          <w:rFonts w:ascii="方正小标宋简体" w:eastAsia="方正小标宋简体"/>
          <w:sz w:val="32"/>
          <w:szCs w:val="32"/>
          <w:highlight w:val="none"/>
        </w:rPr>
      </w:pPr>
      <w:r>
        <w:rPr>
          <w:rFonts w:hint="eastAsia" w:ascii="方正小标宋简体" w:eastAsia="方正小标宋简体"/>
          <w:sz w:val="32"/>
          <w:szCs w:val="32"/>
          <w:highlight w:val="none"/>
        </w:rPr>
        <w:t>——北京市东城区创建全民运动健身模范区工作报告</w:t>
      </w:r>
    </w:p>
    <w:p>
      <w:pPr>
        <w:spacing w:line="560" w:lineRule="exact"/>
        <w:jc w:val="center"/>
        <w:textAlignment w:val="baseline"/>
        <w:rPr>
          <w:rFonts w:ascii="方正小标宋简体" w:eastAsia="方正小标宋简体"/>
          <w:sz w:val="32"/>
          <w:szCs w:val="32"/>
          <w:highlight w:val="none"/>
        </w:rPr>
      </w:pPr>
      <w:r>
        <w:rPr>
          <w:rFonts w:hint="eastAsia" w:ascii="方正小标宋简体" w:hAnsi="方正小标宋简体" w:eastAsia="方正小标宋简体" w:cs="方正小标宋简体"/>
          <w:sz w:val="32"/>
          <w:szCs w:val="32"/>
          <w:highlight w:val="none"/>
        </w:rPr>
        <w:t>2022年4月</w:t>
      </w:r>
    </w:p>
    <w:p>
      <w:pPr>
        <w:spacing w:line="560" w:lineRule="exact"/>
        <w:ind w:firstLine="640" w:firstLineChars="200"/>
        <w:textAlignment w:val="baseline"/>
        <w:rPr>
          <w:rFonts w:ascii="仿宋" w:hAnsi="仿宋" w:eastAsia="仿宋" w:cs="仿宋_GB2312"/>
          <w:color w:val="000000" w:themeColor="text1"/>
          <w:sz w:val="32"/>
          <w:szCs w:val="32"/>
          <w:highlight w:val="none"/>
        </w:rPr>
      </w:pPr>
      <w:r>
        <w:rPr>
          <w:rFonts w:hint="eastAsia" w:ascii="仿宋" w:hAnsi="仿宋" w:eastAsia="仿宋" w:cs="仿宋_GB2312"/>
          <w:bCs/>
          <w:sz w:val="32"/>
          <w:szCs w:val="32"/>
          <w:highlight w:val="none"/>
        </w:rPr>
        <w:t>北京市东城区委、区</w:t>
      </w:r>
      <w:r>
        <w:rPr>
          <w:rFonts w:hint="eastAsia" w:ascii="仿宋" w:hAnsi="仿宋" w:eastAsia="仿宋"/>
          <w:sz w:val="32"/>
          <w:szCs w:val="32"/>
          <w:highlight w:val="none"/>
          <w:shd w:val="clear" w:color="auto" w:fill="FFFFFF"/>
        </w:rPr>
        <w:t>政府始终高度重视全民健身工作，</w:t>
      </w:r>
      <w:r>
        <w:rPr>
          <w:rFonts w:hint="eastAsia" w:ascii="仿宋" w:hAnsi="仿宋" w:eastAsia="仿宋" w:cs="仿宋_GB2312"/>
          <w:sz w:val="32"/>
          <w:szCs w:val="32"/>
          <w:highlight w:val="none"/>
        </w:rPr>
        <w:t>坚持“政府领导、部门协作、社会联动、齐抓共管”的原则，突出体育为人民幸福助力、为社会发展注能的作用，</w:t>
      </w:r>
      <w:r>
        <w:rPr>
          <w:rFonts w:hint="eastAsia" w:ascii="仿宋" w:hAnsi="仿宋" w:eastAsia="仿宋"/>
          <w:sz w:val="32"/>
          <w:szCs w:val="32"/>
          <w:highlight w:val="none"/>
          <w:shd w:val="clear" w:color="auto" w:fill="FFFFFF"/>
        </w:rPr>
        <w:t>按照国家要求，</w:t>
      </w:r>
      <w:r>
        <w:rPr>
          <w:rFonts w:hint="eastAsia" w:ascii="仿宋" w:hAnsi="仿宋" w:eastAsia="仿宋" w:cs="仿宋_GB2312"/>
          <w:sz w:val="32"/>
          <w:szCs w:val="32"/>
          <w:highlight w:val="none"/>
        </w:rPr>
        <w:t>认真</w:t>
      </w:r>
      <w:r>
        <w:rPr>
          <w:rFonts w:hint="eastAsia" w:ascii="仿宋" w:hAnsi="仿宋" w:eastAsia="仿宋" w:cs="仿宋_GB2312"/>
          <w:color w:val="000000" w:themeColor="text1"/>
          <w:sz w:val="32"/>
          <w:szCs w:val="32"/>
          <w:highlight w:val="none"/>
        </w:rPr>
        <w:t>做好、做实各项工作任务，</w:t>
      </w:r>
      <w:r>
        <w:rPr>
          <w:rFonts w:hint="eastAsia" w:ascii="仿宋" w:hAnsi="仿宋" w:eastAsia="仿宋"/>
          <w:color w:val="000000" w:themeColor="text1"/>
          <w:sz w:val="32"/>
          <w:szCs w:val="32"/>
          <w:highlight w:val="none"/>
          <w:shd w:val="clear" w:color="auto" w:fill="FFFFFF"/>
        </w:rPr>
        <w:t>不断</w:t>
      </w:r>
      <w:r>
        <w:rPr>
          <w:rFonts w:ascii="仿宋" w:hAnsi="仿宋" w:eastAsia="仿宋"/>
          <w:color w:val="000000" w:themeColor="text1"/>
          <w:sz w:val="32"/>
          <w:szCs w:val="32"/>
          <w:highlight w:val="none"/>
          <w:shd w:val="clear" w:color="auto" w:fill="FFFFFF"/>
        </w:rPr>
        <w:t>提高全民健身公共服务供给的质量和效益</w:t>
      </w:r>
      <w:r>
        <w:rPr>
          <w:rFonts w:hint="eastAsia" w:ascii="仿宋" w:hAnsi="仿宋" w:eastAsia="仿宋"/>
          <w:color w:val="000000" w:themeColor="text1"/>
          <w:sz w:val="32"/>
          <w:szCs w:val="32"/>
          <w:highlight w:val="none"/>
          <w:shd w:val="clear" w:color="auto" w:fill="FFFFFF"/>
        </w:rPr>
        <w:t>。</w:t>
      </w:r>
      <w:r>
        <w:rPr>
          <w:rFonts w:hint="eastAsia" w:ascii="仿宋" w:hAnsi="仿宋" w:eastAsia="仿宋" w:cs="仿宋_GB2312"/>
          <w:color w:val="000000" w:themeColor="text1"/>
          <w:sz w:val="32"/>
          <w:szCs w:val="32"/>
          <w:highlight w:val="none"/>
        </w:rPr>
        <w:t>现将东城区创建全民运动健身模范区情况汇报如下：</w:t>
      </w:r>
    </w:p>
    <w:p>
      <w:pPr>
        <w:pStyle w:val="10"/>
        <w:numPr>
          <w:ilvl w:val="0"/>
          <w:numId w:val="1"/>
        </w:numPr>
        <w:spacing w:line="560" w:lineRule="exact"/>
        <w:ind w:firstLine="640" w:firstLineChars="200"/>
        <w:jc w:val="both"/>
        <w:textAlignment w:val="baseline"/>
        <w:rPr>
          <w:rFonts w:ascii="黑体" w:hAnsi="黑体" w:eastAsia="黑体"/>
          <w:color w:val="000000" w:themeColor="text1"/>
          <w:sz w:val="32"/>
          <w:szCs w:val="32"/>
          <w:highlight w:val="none"/>
        </w:rPr>
      </w:pPr>
      <w:r>
        <w:rPr>
          <w:rFonts w:hint="eastAsia" w:ascii="黑体" w:hAnsi="黑体" w:eastAsia="黑体"/>
          <w:color w:val="000000" w:themeColor="text1"/>
          <w:sz w:val="32"/>
          <w:szCs w:val="32"/>
          <w:highlight w:val="none"/>
        </w:rPr>
        <w:t>东城区基本情况</w:t>
      </w:r>
    </w:p>
    <w:p>
      <w:pPr>
        <w:pStyle w:val="10"/>
        <w:spacing w:line="560" w:lineRule="exact"/>
        <w:ind w:firstLine="640" w:firstLineChars="200"/>
        <w:jc w:val="both"/>
        <w:textAlignment w:val="baseline"/>
        <w:rPr>
          <w:rFonts w:ascii="仿宋" w:hAnsi="仿宋" w:eastAsia="仿宋" w:cs="仿宋_GB2312"/>
          <w:color w:val="000000" w:themeColor="text1"/>
          <w:sz w:val="32"/>
          <w:szCs w:val="32"/>
          <w:highlight w:val="none"/>
        </w:rPr>
      </w:pPr>
      <w:r>
        <w:rPr>
          <w:rFonts w:hint="eastAsia" w:ascii="仿宋" w:hAnsi="仿宋" w:eastAsia="仿宋" w:cs="仿宋_GB2312"/>
          <w:color w:val="000000" w:themeColor="text1"/>
          <w:sz w:val="32"/>
          <w:szCs w:val="32"/>
          <w:highlight w:val="none"/>
        </w:rPr>
        <w:t>北京市东城区位于北京市中心城区的东部，全域总面积41.84平方公里，下辖17个街道办事处，划分为168个社区。2020年末，全区共有常住人口70.9万人。截至2020年9月，全区共有中小学校86所，在校学生104659 人。</w:t>
      </w:r>
    </w:p>
    <w:p>
      <w:pPr>
        <w:pStyle w:val="10"/>
        <w:spacing w:line="560" w:lineRule="exact"/>
        <w:ind w:firstLine="640" w:firstLineChars="200"/>
        <w:jc w:val="both"/>
        <w:textAlignment w:val="baseline"/>
        <w:rPr>
          <w:rFonts w:ascii="仿宋" w:hAnsi="仿宋" w:eastAsia="仿宋" w:cs="仿宋_GB2312"/>
          <w:color w:val="000000" w:themeColor="text1"/>
          <w:sz w:val="32"/>
          <w:szCs w:val="32"/>
          <w:highlight w:val="none"/>
        </w:rPr>
      </w:pPr>
      <w:r>
        <w:rPr>
          <w:rFonts w:hint="eastAsia" w:ascii="仿宋" w:hAnsi="仿宋" w:eastAsia="仿宋" w:cs="仿宋_GB2312"/>
          <w:color w:val="000000" w:themeColor="text1"/>
          <w:sz w:val="32"/>
          <w:szCs w:val="32"/>
          <w:highlight w:val="none"/>
        </w:rPr>
        <w:t>东城区全民健身工作有着优良的传统和深厚的工作基础。2005年，景山街道黄化门社区率先提出“体育生活化”理念，创建了全国首个体育生活化社区；2015年，实现区域内 “奥林匹克·体育生活化社区”建成率100%。2018-2019年，17个街道全部通过北京市体育局考核验收，被命名为“北京市全民健身示范街道”，在全市率先实现了全民健身示范街道全覆盖。</w:t>
      </w:r>
      <w:r>
        <w:rPr>
          <w:rFonts w:hint="eastAsia" w:ascii="仿宋" w:hAnsi="仿宋" w:eastAsia="仿宋" w:cs="仿宋"/>
          <w:color w:val="000000" w:themeColor="text1"/>
          <w:kern w:val="0"/>
          <w:sz w:val="32"/>
          <w:szCs w:val="32"/>
          <w:highlight w:val="none"/>
        </w:rPr>
        <w:t>东四街道建设成为全球首个“双奥社区”。</w:t>
      </w:r>
      <w:r>
        <w:rPr>
          <w:rFonts w:hint="eastAsia" w:ascii="仿宋" w:hAnsi="仿宋" w:eastAsia="仿宋" w:cs="仿宋_GB2312"/>
          <w:color w:val="000000" w:themeColor="text1"/>
          <w:sz w:val="32"/>
          <w:szCs w:val="32"/>
          <w:highlight w:val="none"/>
        </w:rPr>
        <w:t>初步形成了“体育生活化、健康新东城”的健康理念和工作格局。</w:t>
      </w:r>
    </w:p>
    <w:p>
      <w:pPr>
        <w:spacing w:line="560" w:lineRule="exact"/>
        <w:ind w:firstLine="640" w:firstLineChars="200"/>
        <w:textAlignment w:val="baseline"/>
        <w:rPr>
          <w:rFonts w:ascii="黑体" w:hAnsi="黑体" w:eastAsia="黑体"/>
          <w:color w:val="000000" w:themeColor="text1"/>
          <w:sz w:val="32"/>
          <w:szCs w:val="32"/>
          <w:highlight w:val="none"/>
        </w:rPr>
      </w:pPr>
      <w:r>
        <w:rPr>
          <w:rFonts w:hint="eastAsia" w:ascii="黑体" w:hAnsi="黑体" w:eastAsia="黑体"/>
          <w:color w:val="000000" w:themeColor="text1"/>
          <w:sz w:val="32"/>
          <w:szCs w:val="32"/>
          <w:highlight w:val="none"/>
        </w:rPr>
        <w:t>二、</w:t>
      </w:r>
      <w:bookmarkStart w:id="0" w:name="_Hlk101029408"/>
      <w:r>
        <w:rPr>
          <w:rFonts w:hint="eastAsia" w:ascii="黑体" w:hAnsi="黑体" w:eastAsia="黑体"/>
          <w:color w:val="000000" w:themeColor="text1"/>
          <w:sz w:val="32"/>
          <w:szCs w:val="32"/>
          <w:highlight w:val="none"/>
        </w:rPr>
        <w:t>全民运动健身模范区创建工作落实情况</w:t>
      </w:r>
      <w:bookmarkEnd w:id="0"/>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作为首都功能核心区，东城区按照国家体育总局《关于开展全民运动健身模范市和全民运动健身模范县（市、区）创建工作的通知》要求，成立了区委、区政府主要领导担任组长的东城区创建国家全民运动健身模范区工作领导小组，制定“1+</w:t>
      </w:r>
      <w:r>
        <w:rPr>
          <w:rFonts w:ascii="仿宋" w:hAnsi="仿宋" w:eastAsia="仿宋" w:cs="仿宋"/>
          <w:color w:val="000000" w:themeColor="text1"/>
          <w:kern w:val="0"/>
          <w:sz w:val="32"/>
          <w:szCs w:val="32"/>
          <w:highlight w:val="none"/>
        </w:rPr>
        <w:t>8</w:t>
      </w:r>
      <w:r>
        <w:rPr>
          <w:rFonts w:hint="eastAsia" w:ascii="仿宋" w:hAnsi="仿宋" w:eastAsia="仿宋" w:cs="仿宋"/>
          <w:color w:val="000000" w:themeColor="text1"/>
          <w:kern w:val="0"/>
          <w:sz w:val="32"/>
          <w:szCs w:val="32"/>
          <w:highlight w:val="none"/>
        </w:rPr>
        <w:t>”创建工作方案，举全区之力开展创建工作。将“深化全民运动健身、提高人民身体素质和健康水平”作为推动国际一流和谐宜居的新时代首都核心区建设的重要标志，进一步完善更高水平的全民健身公共服务体系，显著提升体育对社会的贡献度，夯实健康东城的发展基石。</w:t>
      </w:r>
    </w:p>
    <w:p>
      <w:pPr>
        <w:spacing w:line="560" w:lineRule="exact"/>
        <w:ind w:firstLine="640" w:firstLineChars="200"/>
        <w:textAlignment w:val="baseline"/>
        <w:rPr>
          <w:rFonts w:ascii="楷体" w:hAnsi="楷体" w:eastAsia="楷体" w:cs="仿宋"/>
          <w:color w:val="000000" w:themeColor="text1"/>
          <w:kern w:val="0"/>
          <w:sz w:val="32"/>
          <w:szCs w:val="32"/>
          <w:highlight w:val="none"/>
        </w:rPr>
      </w:pPr>
      <w:r>
        <w:rPr>
          <w:rFonts w:hint="eastAsia" w:ascii="楷体" w:hAnsi="楷体" w:eastAsia="楷体" w:cs="仿宋"/>
          <w:color w:val="000000" w:themeColor="text1"/>
          <w:kern w:val="0"/>
          <w:sz w:val="32"/>
          <w:szCs w:val="32"/>
          <w:highlight w:val="none"/>
        </w:rPr>
        <w:t>（一）加强领导，构建全民健身大群体格局</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一是注重加强顶层设计。区委常委会、区政府常务会组织专题学习习近平总书记关于体育工作重要论述和中央重要政策文件，全面贯彻落实党中央、国务院关于“健康中国、体育强国、全民运动健身、体育产业”等文件精神，出台《东城区全民健身实施计划（2016-2020年）》《北京市东城区关于加快发展体育产业促进体育消费重点工作分解方案》等配套文件；在全市率先编制了《东城区体育基本公共服务（2016-2035年）规划》，为全民健身工作提供政策支持与坚实保障。</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二是畅通三级联动机制。区委、区政府认真落实《东城区全民健身工作联席会议制度》，主管区领导定期听取全民健身及创建工作汇报，区人大开展《全民健身条例》专项执法检查；落实“三纳入”</w:t>
      </w:r>
      <w:r>
        <w:rPr>
          <w:rStyle w:val="17"/>
          <w:rFonts w:ascii="仿宋" w:hAnsi="仿宋" w:eastAsia="仿宋" w:cs="仿宋"/>
          <w:color w:val="000000" w:themeColor="text1"/>
          <w:kern w:val="0"/>
          <w:sz w:val="32"/>
          <w:szCs w:val="32"/>
          <w:highlight w:val="none"/>
        </w:rPr>
        <w:footnoteReference w:id="0"/>
      </w:r>
      <w:r>
        <w:rPr>
          <w:rFonts w:hint="eastAsia" w:ascii="仿宋" w:hAnsi="仿宋" w:eastAsia="仿宋" w:cs="仿宋"/>
          <w:color w:val="000000" w:themeColor="text1"/>
          <w:kern w:val="0"/>
          <w:sz w:val="32"/>
          <w:szCs w:val="32"/>
          <w:highlight w:val="none"/>
        </w:rPr>
        <w:t>工作机制；各街道、社区均成立体育工作委员会，形成较为完备的“区-街道-社区”三级健身组织体系和社会力量广泛参与的全民健身工作新格局。</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三是建立常态工作考评机制。利用东城区1820块精神文明宣传栏宣传全民健身及创城工作，将全民健身工作纳入东城区全国文明城区测评指标体系、东城区“七有”</w:t>
      </w:r>
      <w:r>
        <w:rPr>
          <w:rStyle w:val="17"/>
          <w:rFonts w:ascii="仿宋" w:hAnsi="仿宋" w:eastAsia="仿宋" w:cs="仿宋"/>
          <w:color w:val="000000" w:themeColor="text1"/>
          <w:kern w:val="0"/>
          <w:sz w:val="32"/>
          <w:szCs w:val="32"/>
          <w:highlight w:val="none"/>
        </w:rPr>
        <w:footnoteReference w:id="1"/>
      </w:r>
      <w:bookmarkStart w:id="1" w:name="_Hlk101030042"/>
      <w:r>
        <w:rPr>
          <w:rFonts w:hint="eastAsia" w:ascii="仿宋" w:hAnsi="仿宋" w:eastAsia="仿宋" w:cs="仿宋"/>
          <w:color w:val="000000" w:themeColor="text1"/>
          <w:kern w:val="0"/>
          <w:sz w:val="32"/>
          <w:szCs w:val="32"/>
          <w:highlight w:val="none"/>
        </w:rPr>
        <w:t xml:space="preserve"> “五性”</w:t>
      </w:r>
      <w:r>
        <w:rPr>
          <w:rStyle w:val="17"/>
          <w:rFonts w:ascii="仿宋" w:hAnsi="仿宋" w:eastAsia="仿宋" w:cs="仿宋"/>
          <w:color w:val="000000" w:themeColor="text1"/>
          <w:kern w:val="0"/>
          <w:sz w:val="32"/>
          <w:szCs w:val="32"/>
          <w:highlight w:val="none"/>
        </w:rPr>
        <w:footnoteReference w:id="2"/>
      </w:r>
      <w:bookmarkEnd w:id="1"/>
      <w:r>
        <w:rPr>
          <w:rFonts w:hint="eastAsia" w:ascii="仿宋" w:hAnsi="仿宋" w:eastAsia="仿宋" w:cs="仿宋"/>
          <w:color w:val="000000" w:themeColor="text1"/>
          <w:kern w:val="0"/>
          <w:sz w:val="32"/>
          <w:szCs w:val="32"/>
          <w:highlight w:val="none"/>
        </w:rPr>
        <w:t>监测评价指标体系，切实提升人民群众的获得感和幸福感。</w:t>
      </w:r>
    </w:p>
    <w:p>
      <w:pPr>
        <w:spacing w:line="560" w:lineRule="exact"/>
        <w:ind w:firstLine="640" w:firstLineChars="200"/>
        <w:textAlignment w:val="baseline"/>
        <w:rPr>
          <w:rFonts w:ascii="楷体" w:hAnsi="楷体" w:eastAsia="楷体" w:cs="仿宋"/>
          <w:color w:val="000000" w:themeColor="text1"/>
          <w:kern w:val="0"/>
          <w:sz w:val="32"/>
          <w:szCs w:val="32"/>
          <w:highlight w:val="none"/>
        </w:rPr>
      </w:pPr>
      <w:r>
        <w:rPr>
          <w:rFonts w:hint="eastAsia" w:ascii="楷体" w:hAnsi="楷体" w:eastAsia="楷体" w:cs="仿宋"/>
          <w:color w:val="000000" w:themeColor="text1"/>
          <w:kern w:val="0"/>
          <w:sz w:val="32"/>
          <w:szCs w:val="32"/>
          <w:highlight w:val="none"/>
        </w:rPr>
        <w:t>（二）因地制宜，丰富全民健身资源供给</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一是持续加大全民健身设施建设投入。充分利用疏解腾退空间、公园绿地等建设、改造全民健身场地设施。全区17个街道均建有1000平米以上的文体中心；15分钟健身圈覆盖率100%。新建设全民健身场地139处，使全民健身场地达到近2000个，总面积170万平方米（含体育公园内皮划艇训练水面、利用市政道路改造的健走步道等），人均体育场地面积2.4平方米；其中“三大球”场地426个，每万人6个。建成东城区体育活动中心天坛管理部、东单管理部、地坛管理部、地坛馆管理部4个区属大中型综合性全民健身场地，龙潭中湖、青年湖2个体育公园。201</w:t>
      </w:r>
      <w:r>
        <w:rPr>
          <w:rFonts w:hint="eastAsia" w:ascii="仿宋" w:hAnsi="仿宋" w:eastAsia="仿宋" w:cs="仿宋"/>
          <w:color w:val="000000" w:themeColor="text1"/>
          <w:kern w:val="0"/>
          <w:sz w:val="32"/>
          <w:szCs w:val="32"/>
          <w:highlight w:val="none"/>
          <w:lang w:val="en-US" w:eastAsia="zh-CN"/>
        </w:rPr>
        <w:t>5</w:t>
      </w:r>
      <w:r>
        <w:rPr>
          <w:rFonts w:hint="eastAsia" w:ascii="仿宋" w:hAnsi="仿宋" w:eastAsia="仿宋" w:cs="仿宋"/>
          <w:color w:val="000000" w:themeColor="text1"/>
          <w:kern w:val="0"/>
          <w:sz w:val="32"/>
          <w:szCs w:val="32"/>
          <w:highlight w:val="none"/>
        </w:rPr>
        <w:t>年以来新建的2个居住区，均达到人均室外体育用地0.3平方米以上、人均室内建筑面积0.1平方米以上标准。</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二是坚持公益原则推进区域资源共享。区属场馆、部分社会单位、公园、街道文体中心、社区文体活动室均常年对社会开放，区域公共体育设施免费或低收费开放率100%。充分利用东城辖区中央国家机关、企事业单位、中小学校、驻区部队的体育场地资源，鼓励上述部门到街道备案，在保障正常工作、教学秩序的前提下免费或低收费对社会开放，有效补充辖区健身场地供给。</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三是建设智慧平台实现场馆设施管理一网通办。</w:t>
      </w:r>
      <w:r>
        <w:rPr>
          <w:rFonts w:ascii="仿宋" w:hAnsi="仿宋" w:eastAsia="仿宋" w:cs="仿宋"/>
          <w:color w:val="000000" w:themeColor="text1"/>
          <w:kern w:val="0"/>
          <w:sz w:val="32"/>
          <w:szCs w:val="32"/>
          <w:highlight w:val="none"/>
        </w:rPr>
        <w:t>区财政投入资金1000余万元，开发</w:t>
      </w:r>
      <w:bookmarkStart w:id="3" w:name="_GoBack"/>
      <w:bookmarkEnd w:id="3"/>
      <w:r>
        <w:rPr>
          <w:rFonts w:ascii="仿宋" w:hAnsi="仿宋" w:eastAsia="仿宋" w:cs="仿宋"/>
          <w:color w:val="000000" w:themeColor="text1"/>
          <w:kern w:val="0"/>
          <w:sz w:val="32"/>
          <w:szCs w:val="32"/>
          <w:highlight w:val="none"/>
        </w:rPr>
        <w:t>“京体通”智慧文体信息化平台软件，</w:t>
      </w:r>
      <w:r>
        <w:rPr>
          <w:rFonts w:hint="eastAsia" w:ascii="仿宋" w:hAnsi="仿宋" w:eastAsia="仿宋" w:cs="仿宋"/>
          <w:color w:val="000000" w:themeColor="text1"/>
          <w:kern w:val="0"/>
          <w:sz w:val="32"/>
          <w:szCs w:val="32"/>
          <w:highlight w:val="none"/>
        </w:rPr>
        <w:t>建设完成中央控制室、区属“三中心一场馆”智能化项目，在10处体育场馆进行智能化试点工作，开展线上预约、网上支付、场地无人值守等智慧化管理，在全市率先实现了“一网统管、一屏总揽、一码预约、一键报修”的目标。</w:t>
      </w:r>
    </w:p>
    <w:p>
      <w:pPr>
        <w:spacing w:line="560" w:lineRule="exact"/>
        <w:ind w:firstLine="640" w:firstLineChars="200"/>
        <w:textAlignment w:val="baseline"/>
        <w:rPr>
          <w:rFonts w:ascii="楷体" w:hAnsi="楷体" w:eastAsia="楷体" w:cs="仿宋"/>
          <w:color w:val="000000" w:themeColor="text1"/>
          <w:kern w:val="0"/>
          <w:sz w:val="32"/>
          <w:szCs w:val="32"/>
          <w:highlight w:val="none"/>
        </w:rPr>
      </w:pPr>
      <w:r>
        <w:rPr>
          <w:rFonts w:hint="eastAsia" w:ascii="楷体" w:hAnsi="楷体" w:eastAsia="楷体" w:cs="仿宋"/>
          <w:color w:val="000000" w:themeColor="text1"/>
          <w:kern w:val="0"/>
          <w:sz w:val="32"/>
          <w:szCs w:val="32"/>
          <w:highlight w:val="none"/>
        </w:rPr>
        <w:t>（三）精准施策，提升全民健身科学指导服务水平</w:t>
      </w:r>
    </w:p>
    <w:p>
      <w:pPr>
        <w:spacing w:line="560" w:lineRule="exact"/>
        <w:ind w:firstLine="640" w:firstLineChars="200"/>
        <w:textAlignment w:val="baseline"/>
        <w:rPr>
          <w:rFonts w:ascii="仿宋_GB2312" w:hAnsi="仿宋_GB2312" w:eastAsia="仿宋_GB2312" w:cs="仿宋_GB2312"/>
          <w:color w:val="000000" w:themeColor="text1"/>
          <w:sz w:val="32"/>
          <w:szCs w:val="32"/>
          <w:highlight w:val="none"/>
        </w:rPr>
      </w:pPr>
      <w:r>
        <w:rPr>
          <w:rFonts w:hint="eastAsia" w:ascii="仿宋" w:hAnsi="仿宋" w:eastAsia="仿宋" w:cs="仿宋"/>
          <w:color w:val="000000" w:themeColor="text1"/>
          <w:kern w:val="0"/>
          <w:sz w:val="32"/>
          <w:szCs w:val="32"/>
          <w:highlight w:val="none"/>
        </w:rPr>
        <w:t>一是加快复合型社会体育指导员队伍建设。开展社会体育指导员、健康生活方式指导员的综合培训，提供适合老年人、残疾人等特殊群体的体育健身项目和科学健身指导。截至2020年，东城区累计培训社会体育指导员9096人，每千人拥有的公益社会体育指导员数量为12.8人。通过 “优秀全民健身团队”和“星级社会体育指导员”评选工作</w:t>
      </w:r>
      <w:bookmarkStart w:id="2" w:name="_Hlk101027549"/>
      <w:r>
        <w:rPr>
          <w:rFonts w:hint="eastAsia" w:ascii="仿宋" w:hAnsi="仿宋" w:eastAsia="仿宋" w:cs="仿宋"/>
          <w:color w:val="000000" w:themeColor="text1"/>
          <w:kern w:val="0"/>
          <w:sz w:val="32"/>
          <w:szCs w:val="32"/>
          <w:highlight w:val="none"/>
        </w:rPr>
        <w:t>，</w:t>
      </w:r>
      <w:bookmarkEnd w:id="2"/>
      <w:r>
        <w:rPr>
          <w:rFonts w:hint="eastAsia" w:ascii="仿宋" w:hAnsi="仿宋" w:eastAsia="仿宋" w:cs="仿宋"/>
          <w:color w:val="000000" w:themeColor="text1"/>
          <w:kern w:val="0"/>
          <w:sz w:val="32"/>
          <w:szCs w:val="32"/>
          <w:highlight w:val="none"/>
        </w:rPr>
        <w:t>提升上岗率和覆盖率，公益性社会体育指导员实际上岗率为85%，全区168个社区均拥有5名以上社会体育指导员。</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二是强化居民体质测试体系建设。加强体卫融合，建立东城区不同人群体质健康数据库。依托辖区1个二级、17个三级国民体质测试与运动健身指导站，组建体质测试服务指导队伍，每年为17个街道开展国民体质测试及全民健身志愿服务指导活动近50场次，年均为辖区群众服务超过3000人次</w:t>
      </w:r>
      <w:r>
        <w:rPr>
          <w:rFonts w:hint="eastAsia" w:ascii="仿宋" w:hAnsi="仿宋" w:eastAsia="仿宋" w:cs="仿宋"/>
          <w:color w:val="000000" w:themeColor="text1"/>
          <w:kern w:val="0"/>
          <w:sz w:val="32"/>
          <w:szCs w:val="32"/>
          <w:highlight w:val="none"/>
          <w:lang w:eastAsia="zh-CN"/>
        </w:rPr>
        <w:t>，</w:t>
      </w:r>
      <w:r>
        <w:rPr>
          <w:rFonts w:hint="eastAsia" w:ascii="仿宋" w:hAnsi="仿宋" w:eastAsia="仿宋" w:cs="仿宋"/>
          <w:color w:val="000000" w:themeColor="text1"/>
          <w:kern w:val="0"/>
          <w:sz w:val="32"/>
          <w:szCs w:val="32"/>
          <w:highlight w:val="none"/>
        </w:rPr>
        <w:t>1300人次参与《国家体育锻炼达标标准》达标测验活动。2020年东城区20-79周岁成年、老年人国民体质监测整体合格率为93.4%，2020年东城区《国家体育锻炼标准》整体达标率94.7%，2020年东城区人口居民平均预期寿命达84.26岁，超过北京市平均水平。</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三是加强体教融合提升青少年身体素质。深化“健康</w:t>
      </w:r>
      <w:r>
        <w:rPr>
          <w:rFonts w:hint="eastAsia" w:ascii="微软雅黑" w:hAnsi="微软雅黑" w:eastAsia="微软雅黑" w:cs="微软雅黑"/>
          <w:color w:val="000000" w:themeColor="text1"/>
          <w:kern w:val="0"/>
          <w:sz w:val="32"/>
          <w:szCs w:val="32"/>
          <w:highlight w:val="none"/>
        </w:rPr>
        <w:t>•</w:t>
      </w:r>
      <w:r>
        <w:rPr>
          <w:rFonts w:hint="eastAsia" w:ascii="仿宋" w:hAnsi="仿宋" w:eastAsia="仿宋" w:cs="仿宋"/>
          <w:color w:val="000000" w:themeColor="text1"/>
          <w:kern w:val="0"/>
          <w:sz w:val="32"/>
          <w:szCs w:val="32"/>
          <w:highlight w:val="none"/>
        </w:rPr>
        <w:t>成长2020工程”，</w:t>
      </w:r>
      <w:r>
        <w:rPr>
          <w:rFonts w:hint="eastAsia" w:ascii="仿宋" w:hAnsi="仿宋" w:eastAsia="仿宋" w:cs="仿宋"/>
          <w:color w:val="000000" w:themeColor="text1"/>
          <w:kern w:val="0"/>
          <w:sz w:val="32"/>
          <w:szCs w:val="32"/>
          <w:highlight w:val="none"/>
          <w:lang w:eastAsia="zh-CN"/>
        </w:rPr>
        <w:t>实现平均</w:t>
      </w:r>
      <w:r>
        <w:rPr>
          <w:rFonts w:hint="eastAsia" w:ascii="仿宋" w:hAnsi="仿宋" w:eastAsia="仿宋" w:cs="仿宋"/>
          <w:color w:val="000000" w:themeColor="text1"/>
          <w:kern w:val="0"/>
          <w:sz w:val="32"/>
          <w:szCs w:val="32"/>
          <w:highlight w:val="none"/>
        </w:rPr>
        <w:t>每天1节体育课和课外1小时体育锻炼，</w:t>
      </w:r>
      <w:r>
        <w:rPr>
          <w:rFonts w:hint="eastAsia" w:ascii="仿宋" w:hAnsi="仿宋" w:eastAsia="仿宋" w:cs="仿宋"/>
          <w:color w:val="000000" w:themeColor="text1"/>
          <w:kern w:val="0"/>
          <w:sz w:val="32"/>
          <w:szCs w:val="32"/>
          <w:highlight w:val="none"/>
          <w:lang w:eastAsia="zh-CN"/>
        </w:rPr>
        <w:t>培养</w:t>
      </w:r>
      <w:r>
        <w:rPr>
          <w:rFonts w:hint="eastAsia" w:ascii="仿宋" w:hAnsi="仿宋" w:eastAsia="仿宋" w:cs="仿宋"/>
          <w:color w:val="000000" w:themeColor="text1"/>
          <w:kern w:val="0"/>
          <w:sz w:val="32"/>
          <w:szCs w:val="32"/>
          <w:highlight w:val="none"/>
        </w:rPr>
        <w:t>学生掌握两项受益终身的体育技能，养成终身运动的习惯。成立青少年健康学院，为学生提供棒垒球、击剑等多达24项体育项目的供给</w:t>
      </w:r>
      <w:r>
        <w:rPr>
          <w:rFonts w:hint="eastAsia" w:ascii="仿宋" w:hAnsi="仿宋" w:eastAsia="仿宋" w:cs="仿宋"/>
          <w:color w:val="000000" w:themeColor="text1"/>
          <w:kern w:val="0"/>
          <w:sz w:val="32"/>
          <w:szCs w:val="32"/>
          <w:highlight w:val="none"/>
          <w:lang w:eastAsia="zh-CN"/>
        </w:rPr>
        <w:t>，满足不同学生的个性化需求</w:t>
      </w:r>
      <w:r>
        <w:rPr>
          <w:rFonts w:hint="eastAsia" w:ascii="仿宋" w:hAnsi="仿宋" w:eastAsia="仿宋" w:cs="仿宋"/>
          <w:color w:val="000000" w:themeColor="text1"/>
          <w:kern w:val="0"/>
          <w:sz w:val="32"/>
          <w:szCs w:val="32"/>
          <w:highlight w:val="none"/>
        </w:rPr>
        <w:t>。着力解决影响青少年普遍存在的肥胖、近视等问题，2016-202</w:t>
      </w:r>
      <w:r>
        <w:rPr>
          <w:rFonts w:hint="eastAsia" w:ascii="仿宋" w:hAnsi="仿宋" w:eastAsia="仿宋" w:cs="仿宋"/>
          <w:color w:val="000000" w:themeColor="text1"/>
          <w:kern w:val="0"/>
          <w:sz w:val="32"/>
          <w:szCs w:val="32"/>
          <w:highlight w:val="none"/>
          <w:lang w:val="en-US" w:eastAsia="zh-CN"/>
        </w:rPr>
        <w:t>0</w:t>
      </w:r>
      <w:r>
        <w:rPr>
          <w:rFonts w:hint="eastAsia" w:ascii="仿宋" w:hAnsi="仿宋" w:eastAsia="仿宋" w:cs="仿宋"/>
          <w:color w:val="000000" w:themeColor="text1"/>
          <w:kern w:val="0"/>
          <w:sz w:val="32"/>
          <w:szCs w:val="32"/>
          <w:highlight w:val="none"/>
        </w:rPr>
        <w:t>年东城区青少年近视率下降了7个百分点，东城区中小学生《国家学生体质健康测试》合格率达到98.25%，优良率达到70.79%，在北京市抽测中，我区优秀率、合格率分列第一名、第二名。</w:t>
      </w:r>
    </w:p>
    <w:p>
      <w:pPr>
        <w:spacing w:line="560" w:lineRule="exact"/>
        <w:ind w:firstLine="640" w:firstLineChars="200"/>
        <w:textAlignment w:val="baseline"/>
        <w:rPr>
          <w:rFonts w:ascii="楷体" w:hAnsi="楷体" w:eastAsia="楷体" w:cs="仿宋"/>
          <w:color w:val="000000" w:themeColor="text1"/>
          <w:kern w:val="0"/>
          <w:sz w:val="32"/>
          <w:szCs w:val="32"/>
          <w:highlight w:val="none"/>
        </w:rPr>
      </w:pPr>
      <w:r>
        <w:rPr>
          <w:rFonts w:hint="eastAsia" w:ascii="楷体" w:hAnsi="楷体" w:eastAsia="楷体" w:cs="仿宋"/>
          <w:color w:val="000000" w:themeColor="text1"/>
          <w:kern w:val="0"/>
          <w:sz w:val="32"/>
          <w:szCs w:val="32"/>
          <w:highlight w:val="none"/>
        </w:rPr>
        <w:t>（四）多措并举，大力营造全民健身活动场域</w:t>
      </w:r>
    </w:p>
    <w:p>
      <w:pPr>
        <w:pStyle w:val="6"/>
        <w:spacing w:line="560" w:lineRule="exact"/>
        <w:ind w:firstLine="640" w:firstLineChars="200"/>
        <w:rPr>
          <w:rFonts w:ascii="仿宋" w:hAnsi="仿宋" w:eastAsia="仿宋" w:cs="仿宋"/>
          <w:color w:val="000000" w:themeColor="text1"/>
          <w:sz w:val="32"/>
          <w:szCs w:val="32"/>
          <w:highlight w:val="none"/>
        </w:rPr>
      </w:pPr>
      <w:r>
        <w:rPr>
          <w:rFonts w:hint="eastAsia" w:ascii="仿宋" w:hAnsi="仿宋" w:eastAsia="仿宋" w:cs="仿宋"/>
          <w:color w:val="000000" w:themeColor="text1"/>
          <w:kern w:val="0"/>
          <w:sz w:val="32"/>
          <w:szCs w:val="32"/>
          <w:highlight w:val="none"/>
        </w:rPr>
        <w:t>一是打造区级全民健身系列活动品牌。东城区首创并主办、“因奥运而生，因群众而兴”的北京市民“快乐周末”系列活动自2008年至今已连续举办了14年，涵盖4家区属场馆12个项目，每年近4万群众免费参与，多次受到国家体育总局、市体育局的表彰。区属场馆、各街道开展各具特色的全民健身品牌活动，</w:t>
      </w:r>
      <w:r>
        <w:rPr>
          <w:rFonts w:hint="eastAsia" w:ascii="仿宋" w:hAnsi="仿宋" w:eastAsia="仿宋" w:cs="仿宋"/>
          <w:color w:val="000000" w:themeColor="text1"/>
          <w:sz w:val="32"/>
          <w:szCs w:val="32"/>
          <w:highlight w:val="none"/>
        </w:rPr>
        <w:t>如“日落东单”篮球比赛成为中国街头篮球第一品牌，“故宫跑”、“天坛大象跑”成为跑步爱好者的网红路线，“钟鼓楼杯”棋类比赛、胡同迷你马拉松、社区足球、端午龙舟赛等活动都具有较大影响力。</w:t>
      </w:r>
    </w:p>
    <w:p>
      <w:pPr>
        <w:pStyle w:val="6"/>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每年东城区举办国家、北京市级全民健身品牌赛事活动7项，大型全民健身活动20余场，参与人数20余万人次，“京津冀保龄球交流赛”成为传统赛事，形成贯穿全年的全民健身活动热潮。2018年北京市第十五届市运会首次增设群众体育项目，东城区获得一等奖和团体总分双第一的优异成绩。</w:t>
      </w:r>
    </w:p>
    <w:p>
      <w:pPr>
        <w:pStyle w:val="2"/>
        <w:spacing w:after="0" w:line="560" w:lineRule="exact"/>
        <w:ind w:firstLine="640" w:firstLineChars="200"/>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二是蓬勃开展群众身边的全民健身活动。区总工会牵头成立东城区职工体协，推动各单位组建全民健身团队和全民健身活动兴趣小组，定期举办干部、职工运动会和学校运动会等专项运动会、综合性运动会，普及推广工间操、健步走等活动，赛事活动覆盖17个街道、5个地区和10个系统，覆盖率100%。驻区760家政府机关、企事业单位均开展丰富多彩的全民运动健身活动，70%的单位开展工间操活动。政府主导和社会参与“双轮驱动”，扎根街道社区，推动“三大球”赛事活动。2</w:t>
      </w:r>
      <w:r>
        <w:rPr>
          <w:rFonts w:ascii="仿宋" w:hAnsi="仿宋" w:eastAsia="仿宋" w:cs="仿宋"/>
          <w:color w:val="000000" w:themeColor="text1"/>
          <w:kern w:val="0"/>
          <w:sz w:val="32"/>
          <w:szCs w:val="32"/>
          <w:highlight w:val="none"/>
        </w:rPr>
        <w:t>020</w:t>
      </w:r>
      <w:r>
        <w:rPr>
          <w:rFonts w:hint="eastAsia" w:ascii="仿宋" w:hAnsi="仿宋" w:eastAsia="仿宋" w:cs="仿宋"/>
          <w:color w:val="000000" w:themeColor="text1"/>
          <w:kern w:val="0"/>
          <w:sz w:val="32"/>
          <w:szCs w:val="32"/>
          <w:highlight w:val="none"/>
        </w:rPr>
        <w:t>年，东城区居民提出的政府搭建社区足球运动平台的建议，得到市</w:t>
      </w:r>
      <w:r>
        <w:rPr>
          <w:rFonts w:hint="eastAsia" w:ascii="仿宋" w:hAnsi="仿宋" w:eastAsia="仿宋" w:cs="仿宋"/>
          <w:color w:val="000000" w:themeColor="text1"/>
          <w:kern w:val="0"/>
          <w:sz w:val="32"/>
          <w:szCs w:val="32"/>
          <w:highlight w:val="none"/>
          <w:lang w:eastAsia="zh-CN"/>
        </w:rPr>
        <w:t>主要</w:t>
      </w:r>
      <w:r>
        <w:rPr>
          <w:rFonts w:hint="eastAsia" w:ascii="仿宋" w:hAnsi="仿宋" w:eastAsia="仿宋" w:cs="仿宋"/>
          <w:color w:val="000000" w:themeColor="text1"/>
          <w:kern w:val="0"/>
          <w:sz w:val="32"/>
          <w:szCs w:val="32"/>
          <w:highlight w:val="none"/>
        </w:rPr>
        <w:t>领导高度认可，北京市首届社区杯八人制足球赛</w:t>
      </w:r>
      <w:r>
        <w:rPr>
          <w:rFonts w:hint="eastAsia" w:ascii="仿宋" w:hAnsi="仿宋" w:eastAsia="仿宋" w:cs="仿宋"/>
          <w:color w:val="000000" w:themeColor="text1"/>
          <w:kern w:val="0"/>
          <w:sz w:val="32"/>
          <w:szCs w:val="32"/>
          <w:highlight w:val="none"/>
          <w:lang w:eastAsia="zh-CN"/>
        </w:rPr>
        <w:t>得以成功举办，并由</w:t>
      </w:r>
      <w:r>
        <w:rPr>
          <w:rFonts w:hint="eastAsia" w:ascii="仿宋" w:hAnsi="仿宋" w:eastAsia="仿宋" w:cs="仿宋"/>
          <w:color w:val="000000" w:themeColor="text1"/>
          <w:kern w:val="0"/>
          <w:sz w:val="32"/>
          <w:szCs w:val="32"/>
          <w:highlight w:val="none"/>
        </w:rPr>
        <w:t>东城区承办</w:t>
      </w:r>
      <w:r>
        <w:rPr>
          <w:rFonts w:hint="eastAsia" w:ascii="仿宋" w:hAnsi="仿宋" w:eastAsia="仿宋" w:cs="仿宋"/>
          <w:color w:val="000000" w:themeColor="text1"/>
          <w:kern w:val="0"/>
          <w:sz w:val="32"/>
          <w:szCs w:val="32"/>
          <w:highlight w:val="none"/>
          <w:lang w:eastAsia="zh-CN"/>
        </w:rPr>
        <w:t>。</w:t>
      </w:r>
      <w:r>
        <w:rPr>
          <w:rFonts w:hint="eastAsia" w:ascii="仿宋" w:hAnsi="仿宋" w:eastAsia="仿宋" w:cs="仿宋"/>
          <w:color w:val="000000" w:themeColor="text1"/>
          <w:kern w:val="0"/>
          <w:sz w:val="32"/>
          <w:szCs w:val="32"/>
          <w:highlight w:val="none"/>
        </w:rPr>
        <w:t>在苟仲文局长与市领导的倡议下在全国率先成立了街道足协</w:t>
      </w:r>
      <w:r>
        <w:rPr>
          <w:rFonts w:hint="eastAsia" w:ascii="仿宋" w:hAnsi="仿宋" w:eastAsia="仿宋" w:cs="仿宋"/>
          <w:color w:val="000000" w:themeColor="text1"/>
          <w:kern w:val="0"/>
          <w:sz w:val="32"/>
          <w:szCs w:val="32"/>
          <w:highlight w:val="none"/>
          <w:lang w:eastAsia="zh-CN"/>
        </w:rPr>
        <w:t>，探索社区足球的管理与运营方式</w:t>
      </w:r>
      <w:r>
        <w:rPr>
          <w:rFonts w:hint="eastAsia" w:ascii="仿宋" w:hAnsi="仿宋" w:eastAsia="仿宋" w:cs="仿宋"/>
          <w:color w:val="000000" w:themeColor="text1"/>
          <w:kern w:val="0"/>
          <w:sz w:val="32"/>
          <w:szCs w:val="32"/>
          <w:highlight w:val="none"/>
        </w:rPr>
        <w:t>。2021年东城区入选全国“首批全国县域足球典型”。</w:t>
      </w:r>
    </w:p>
    <w:p>
      <w:pPr>
        <w:pStyle w:val="6"/>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三是积极推动“三亿人上冰雪”的快乐冰雪活动。以北京冬奥会、冬残奥会为契机，建设仿真冰场和季节性冰场，开设冬奥文化广场，鼓励群众及青少年参与冰雪运动，营造浓厚“冬奥”氛围。每年举办100余场冰雪活动，参与人数28万人次。</w:t>
      </w:r>
      <w:r>
        <w:rPr>
          <w:rFonts w:hint="eastAsia" w:ascii="仿宋" w:hAnsi="仿宋" w:eastAsia="仿宋" w:cs="仿宋"/>
          <w:color w:val="000000" w:themeColor="text1"/>
          <w:kern w:val="0"/>
          <w:sz w:val="32"/>
          <w:szCs w:val="32"/>
          <w:highlight w:val="none"/>
          <w:lang w:eastAsia="zh-CN"/>
        </w:rPr>
        <w:t>深入开展冰雪进校园活动，</w:t>
      </w:r>
      <w:r>
        <w:rPr>
          <w:rFonts w:hint="eastAsia" w:ascii="仿宋" w:hAnsi="仿宋" w:eastAsia="仿宋" w:cs="仿宋"/>
          <w:color w:val="000000" w:themeColor="text1"/>
          <w:kern w:val="0"/>
          <w:sz w:val="32"/>
          <w:szCs w:val="32"/>
          <w:highlight w:val="none"/>
        </w:rPr>
        <w:t>制定实施《东城区校园冰雪运动五年行动计划（2018-2022年）》，五年来累计有16万人次青少年上冰上雪，带动30余万人次家长参与冰雪运动。东城区在北京市第一届冬季运动会上获得了团体总分第一名的优异成绩。</w:t>
      </w:r>
    </w:p>
    <w:p>
      <w:pPr>
        <w:spacing w:line="560" w:lineRule="exact"/>
        <w:ind w:firstLine="640" w:firstLineChars="200"/>
        <w:textAlignment w:val="baseline"/>
        <w:rPr>
          <w:rFonts w:ascii="楷体" w:hAnsi="楷体" w:eastAsia="楷体" w:cs="仿宋"/>
          <w:color w:val="000000" w:themeColor="text1"/>
          <w:kern w:val="0"/>
          <w:sz w:val="32"/>
          <w:szCs w:val="32"/>
          <w:highlight w:val="none"/>
        </w:rPr>
      </w:pPr>
      <w:r>
        <w:rPr>
          <w:rFonts w:hint="eastAsia" w:ascii="楷体" w:hAnsi="楷体" w:eastAsia="楷体" w:cs="仿宋"/>
          <w:color w:val="000000" w:themeColor="text1"/>
          <w:kern w:val="0"/>
          <w:sz w:val="32"/>
          <w:szCs w:val="32"/>
          <w:highlight w:val="none"/>
        </w:rPr>
        <w:t>（五）改革创新，以全民健身带动体育事业高质量发展</w:t>
      </w:r>
    </w:p>
    <w:p>
      <w:pPr>
        <w:spacing w:line="560" w:lineRule="exact"/>
        <w:ind w:firstLine="640" w:firstLineChars="200"/>
        <w:rPr>
          <w:color w:val="000000" w:themeColor="text1"/>
          <w:highlight w:val="none"/>
        </w:rPr>
      </w:pPr>
      <w:r>
        <w:rPr>
          <w:rFonts w:hint="eastAsia" w:ascii="仿宋" w:hAnsi="仿宋" w:eastAsia="仿宋" w:cs="仿宋"/>
          <w:color w:val="000000" w:themeColor="text1"/>
          <w:kern w:val="0"/>
          <w:sz w:val="32"/>
          <w:szCs w:val="32"/>
          <w:highlight w:val="none"/>
        </w:rPr>
        <w:t>一是科学定位助力首都核心区建设。充分借助国家体育总局及国家级体育企业、体育协会等聚集东城的独特资源优势，</w:t>
      </w:r>
      <w:r>
        <w:rPr>
          <w:rFonts w:hint="eastAsia" w:ascii="仿宋" w:hAnsi="仿宋" w:eastAsia="仿宋" w:cs="仿宋"/>
          <w:color w:val="000000" w:themeColor="text1"/>
          <w:kern w:val="0"/>
          <w:sz w:val="32"/>
          <w:szCs w:val="32"/>
          <w:highlight w:val="none"/>
          <w:lang w:eastAsia="zh-CN"/>
        </w:rPr>
        <w:t>及时对接落实国家体育总局最新思想指引和政策动态，加强业务交流，</w:t>
      </w:r>
      <w:r>
        <w:rPr>
          <w:rFonts w:hint="eastAsia" w:ascii="仿宋" w:hAnsi="仿宋" w:eastAsia="仿宋" w:cs="仿宋"/>
          <w:i w:val="0"/>
          <w:caps w:val="0"/>
          <w:color w:val="000000" w:themeColor="text1"/>
          <w:spacing w:val="0"/>
          <w:kern w:val="0"/>
          <w:sz w:val="32"/>
          <w:szCs w:val="32"/>
          <w:highlight w:val="none"/>
          <w:shd w:val="clear"/>
        </w:rPr>
        <w:t>以新视野、新目标、新作为强化全民健身意识，新思想引领全民健身新实践，以全民健身实现全民健康，促进全民幸福。</w:t>
      </w:r>
    </w:p>
    <w:p>
      <w:pPr>
        <w:pStyle w:val="6"/>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二是贴近基层扶植体育社会群团组织。东城区共有22个法人体育协会、17个街道体育组织、24个青少年体育俱乐部，</w:t>
      </w:r>
      <w:r>
        <w:rPr>
          <w:rFonts w:hint="eastAsia" w:ascii="仿宋" w:hAnsi="仿宋" w:eastAsia="仿宋" w:cs="仿宋_GB2312"/>
          <w:color w:val="000000" w:themeColor="text1"/>
          <w:sz w:val="32"/>
          <w:szCs w:val="32"/>
          <w:highlight w:val="none"/>
        </w:rPr>
        <w:t>在区体育总会的指导下，常年活跃在社区和学校开展群众健身活动，满足各年龄段多元化全民健身活动需求。</w:t>
      </w:r>
      <w:r>
        <w:rPr>
          <w:rFonts w:hint="eastAsia" w:ascii="仿宋" w:hAnsi="仿宋" w:eastAsia="仿宋" w:cs="仿宋"/>
          <w:color w:val="000000" w:themeColor="text1"/>
          <w:kern w:val="0"/>
          <w:sz w:val="32"/>
          <w:szCs w:val="32"/>
          <w:highlight w:val="none"/>
        </w:rPr>
        <w:t>年均举办单项全民健身赛事近千场次，参与人数60余万人次。天坛公园的“天坛大爷”</w:t>
      </w:r>
      <w:r>
        <w:rPr>
          <w:rStyle w:val="17"/>
          <w:rFonts w:hint="eastAsia" w:ascii="仿宋" w:hAnsi="仿宋" w:eastAsia="仿宋" w:cs="仿宋"/>
          <w:color w:val="000000" w:themeColor="text1"/>
          <w:kern w:val="0"/>
          <w:sz w:val="32"/>
          <w:szCs w:val="32"/>
          <w:highlight w:val="none"/>
        </w:rPr>
        <w:footnoteReference w:id="3"/>
      </w:r>
      <w:r>
        <w:rPr>
          <w:rFonts w:hint="eastAsia" w:ascii="仿宋" w:hAnsi="仿宋" w:eastAsia="仿宋" w:cs="仿宋"/>
          <w:color w:val="000000" w:themeColor="text1"/>
          <w:kern w:val="0"/>
          <w:sz w:val="32"/>
          <w:szCs w:val="32"/>
          <w:highlight w:val="none"/>
        </w:rPr>
        <w:t>、龙潭公园的健身气功团队、体育馆路街道四块玉社区的社区足球等成为东城全民健身的亮丽名片。</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三是丰富全民健身服务供给多样化。东城区共有123家体育运动项目经营单位，其中社会资本113家，极大满足了大众多层次多样化的健身休闲需求，大大提高了东城区体育健身服务产品的供给能力和服务水平，“天坛-东单-地坛”地标性网红健身消费圈影响力与日俱增。30家体育服务企业进入东城区纳税千强。充分利用东城核心区优势，通过服务和保障中国篮协等专业机构，在“三大球”项目上开展高位引进与合作，东城区青少年业余体校与国安男足、景山学校与北汽排球等项目深度合作</w:t>
      </w:r>
      <w:r>
        <w:rPr>
          <w:rFonts w:hint="eastAsia" w:ascii="仿宋" w:hAnsi="仿宋" w:eastAsia="仿宋" w:cs="仿宋"/>
          <w:color w:val="000000" w:themeColor="text1"/>
          <w:kern w:val="0"/>
          <w:sz w:val="32"/>
          <w:szCs w:val="32"/>
          <w:highlight w:val="none"/>
          <w:lang w:eastAsia="zh-CN"/>
        </w:rPr>
        <w:t>并取得优异成绩</w:t>
      </w:r>
      <w:r>
        <w:rPr>
          <w:rFonts w:hint="eastAsia" w:ascii="仿宋" w:hAnsi="仿宋" w:eastAsia="仿宋" w:cs="仿宋"/>
          <w:color w:val="000000" w:themeColor="text1"/>
          <w:kern w:val="0"/>
          <w:sz w:val="32"/>
          <w:szCs w:val="32"/>
          <w:highlight w:val="none"/>
        </w:rPr>
        <w:t>，实现了聚力共赢，和谐共生。</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四是推动群众体育、竞技体育“双螺旋”发展。全民健身工作的蓬勃开展为我区竞技体育的优异成绩打下了坚实基础，多位奥运冠军、世界冠军的诞生又激励和带动了东城区全民健身工作，形成相互促进、共同提高的良好局面。东城区培养输送了滕海滨、张怡宁、何可欣、陈颖、张楠、曹缘、张家齐等7名奥运冠军，共获得14枚奥运金牌，我区充分发挥奥运冠军的影响力，鼓励体育明星、奥运健儿进校园、进社区，参与全民健身志愿服务。开展国家级重点课题《“体教融合”方法与路径：奥运冠军进校园对学生心理和体育健康促进影响因素的研究 》，引领和带动全民健身工作高位发展。</w:t>
      </w:r>
    </w:p>
    <w:p>
      <w:pPr>
        <w:numPr>
          <w:ilvl w:val="0"/>
          <w:numId w:val="2"/>
        </w:numPr>
        <w:spacing w:line="560" w:lineRule="exact"/>
        <w:ind w:firstLine="640" w:firstLineChars="200"/>
        <w:textAlignment w:val="baseline"/>
        <w:rPr>
          <w:rFonts w:ascii="黑体" w:hAnsi="黑体" w:eastAsia="黑体"/>
          <w:color w:val="000000" w:themeColor="text1"/>
          <w:sz w:val="32"/>
          <w:szCs w:val="32"/>
          <w:highlight w:val="none"/>
        </w:rPr>
      </w:pPr>
      <w:r>
        <w:rPr>
          <w:rFonts w:hint="eastAsia" w:ascii="黑体" w:hAnsi="黑体" w:eastAsia="黑体"/>
          <w:color w:val="000000" w:themeColor="text1"/>
          <w:sz w:val="32"/>
          <w:szCs w:val="32"/>
          <w:highlight w:val="none"/>
        </w:rPr>
        <w:t>创建工作特色</w:t>
      </w:r>
    </w:p>
    <w:p>
      <w:pPr>
        <w:pStyle w:val="2"/>
        <w:spacing w:after="0" w:line="560" w:lineRule="atLeast"/>
        <w:rPr>
          <w:rFonts w:ascii="仿宋" w:hAnsi="仿宋" w:eastAsia="仿宋" w:cs="仿宋"/>
          <w:color w:val="000000" w:themeColor="text1"/>
          <w:kern w:val="0"/>
          <w:sz w:val="32"/>
          <w:szCs w:val="32"/>
          <w:highlight w:val="none"/>
        </w:rPr>
      </w:pPr>
      <w:r>
        <w:rPr>
          <w:rFonts w:hint="eastAsia"/>
          <w:color w:val="000000" w:themeColor="text1"/>
          <w:highlight w:val="none"/>
        </w:rPr>
        <w:t xml:space="preserve">      </w:t>
      </w:r>
      <w:r>
        <w:rPr>
          <w:rFonts w:hint="eastAsia" w:ascii="仿宋" w:hAnsi="仿宋" w:eastAsia="仿宋" w:cs="仿宋"/>
          <w:color w:val="000000" w:themeColor="text1"/>
          <w:kern w:val="0"/>
          <w:sz w:val="32"/>
          <w:szCs w:val="32"/>
          <w:highlight w:val="none"/>
        </w:rPr>
        <w:t>开展创建工作以来，东城区逐步形成了“三项工程”的工作特色，全民健身工作有了长足的进展，各项指标均达到了国家体育总局验收标准。</w:t>
      </w:r>
    </w:p>
    <w:p>
      <w:pPr>
        <w:spacing w:line="560" w:lineRule="atLeas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一是强化为民服务，构建幸福工程。发挥体育促进身心健康、促进社会和谐的功能，深化街道社区自治、自管、自乐、自享，助力社会治理体系的完善和治理能力的提升，群众获得感、幸福感不断增强。</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二是强化“六个身边”</w:t>
      </w:r>
      <w:r>
        <w:rPr>
          <w:rStyle w:val="17"/>
          <w:rFonts w:hint="eastAsia" w:ascii="仿宋" w:hAnsi="仿宋" w:eastAsia="仿宋" w:cs="仿宋"/>
          <w:color w:val="000000" w:themeColor="text1"/>
          <w:kern w:val="0"/>
          <w:sz w:val="32"/>
          <w:szCs w:val="32"/>
          <w:highlight w:val="none"/>
        </w:rPr>
        <w:footnoteReference w:id="4"/>
      </w:r>
      <w:r>
        <w:rPr>
          <w:rFonts w:hint="eastAsia" w:ascii="仿宋" w:hAnsi="仿宋" w:eastAsia="仿宋" w:cs="仿宋"/>
          <w:color w:val="000000" w:themeColor="text1"/>
          <w:kern w:val="0"/>
          <w:sz w:val="32"/>
          <w:szCs w:val="32"/>
          <w:highlight w:val="none"/>
        </w:rPr>
        <w:t>，构建利民工程。顶层设计、重在基层，就近就便、因地制宜，让群众运动健身有去处、赛事活动有组织、科学健身有指导，建设优质均衡、特色鲜明的高水平全民健身公共服务体系，群众多层次体育健身需求不断得到满足。</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三是强化习惯养成，构建强身工程。厚植“健康第一”的理念，从十万学子抓起，培养人人参与体育运动的习惯和时尚，让全民健身运动成为促进生活健康、提高市民素质、展现幸福东城形象的亮丽名片。</w:t>
      </w:r>
    </w:p>
    <w:p>
      <w:pPr>
        <w:spacing w:line="560" w:lineRule="exact"/>
        <w:ind w:firstLine="640" w:firstLineChars="200"/>
        <w:textAlignment w:val="baseline"/>
        <w:rPr>
          <w:rFonts w:ascii="方正楷体_GB2312" w:hAnsi="方正楷体_GB2312" w:eastAsia="方正楷体_GB2312" w:cs="方正楷体_GB2312"/>
          <w:color w:val="000000" w:themeColor="text1"/>
          <w:sz w:val="32"/>
          <w:szCs w:val="32"/>
          <w:highlight w:val="none"/>
        </w:rPr>
      </w:pPr>
      <w:r>
        <w:rPr>
          <w:rFonts w:hint="eastAsia" w:ascii="黑体" w:hAnsi="黑体" w:eastAsia="黑体"/>
          <w:color w:val="000000" w:themeColor="text1"/>
          <w:sz w:val="32"/>
          <w:szCs w:val="32"/>
          <w:highlight w:val="none"/>
        </w:rPr>
        <w:t>四、存在问题和困难</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创建工作有力的推动和促进了东城区全民健身工作，但对照东城区“建设国际一流和谐宜居之都的新时代首都功能核心区”的定位，特别是结合新时代新形势下人民群众对全民健身服务的新需求，还存在一定问题和不足。</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一是优化资源供给，还需进一步优化全民健身设施布局。东城区南北狭长，老旧小区及平房区体育设施资源受客观因素影响，全民健身场地设施仍稍显不足。</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二是升级体育消费，还需进一步推动体育产业的发展。我区仍需进一步引入社会资本，促进全民健身服务产业链条延长、深化，推动东城区体育产业健康发展。</w:t>
      </w:r>
    </w:p>
    <w:p>
      <w:pPr>
        <w:spacing w:line="560" w:lineRule="exact"/>
        <w:ind w:firstLine="640" w:firstLineChars="200"/>
        <w:textAlignment w:val="baseline"/>
        <w:rPr>
          <w:rFonts w:ascii="黑体" w:hAnsi="黑体" w:eastAsia="黑体"/>
          <w:color w:val="000000" w:themeColor="text1"/>
          <w:sz w:val="32"/>
          <w:szCs w:val="32"/>
          <w:highlight w:val="none"/>
        </w:rPr>
      </w:pPr>
      <w:r>
        <w:rPr>
          <w:rFonts w:hint="eastAsia" w:ascii="黑体" w:hAnsi="黑体" w:eastAsia="黑体"/>
          <w:color w:val="000000" w:themeColor="text1"/>
          <w:sz w:val="32"/>
          <w:szCs w:val="32"/>
          <w:highlight w:val="none"/>
        </w:rPr>
        <w:t>五、下一步工作思路</w:t>
      </w:r>
    </w:p>
    <w:p>
      <w:pPr>
        <w:snapToGrid w:val="0"/>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针对东城区全民健身工作存在问题和短板，我们将继续巩固和深化创建工作成果，</w:t>
      </w:r>
      <w:r>
        <w:rPr>
          <w:rFonts w:hint="eastAsia" w:ascii="仿宋" w:hAnsi="仿宋" w:eastAsia="仿宋" w:cs="仿宋"/>
          <w:color w:val="000000" w:themeColor="text1"/>
          <w:kern w:val="0"/>
          <w:sz w:val="32"/>
          <w:szCs w:val="32"/>
          <w:highlight w:val="none"/>
          <w:lang w:eastAsia="zh-CN"/>
        </w:rPr>
        <w:t>落实</w:t>
      </w:r>
      <w:r>
        <w:rPr>
          <w:rFonts w:hint="eastAsia" w:ascii="仿宋" w:hAnsi="仿宋" w:eastAsia="仿宋" w:cs="仿宋"/>
          <w:i w:val="0"/>
          <w:caps w:val="0"/>
          <w:color w:val="000000" w:themeColor="text1"/>
          <w:spacing w:val="0"/>
          <w:kern w:val="0"/>
          <w:sz w:val="32"/>
          <w:szCs w:val="32"/>
          <w:highlight w:val="none"/>
          <w:shd w:val="clear"/>
        </w:rPr>
        <w:t>中共中央办公厅、国务院办公厅《关于构建更高水平的全民健身公共服务体系的意见》</w:t>
      </w:r>
      <w:r>
        <w:rPr>
          <w:rFonts w:hint="eastAsia" w:ascii="仿宋" w:hAnsi="仿宋" w:eastAsia="仿宋" w:cs="仿宋"/>
          <w:i w:val="0"/>
          <w:caps w:val="0"/>
          <w:color w:val="000000" w:themeColor="text1"/>
          <w:spacing w:val="0"/>
          <w:kern w:val="0"/>
          <w:sz w:val="32"/>
          <w:szCs w:val="32"/>
          <w:highlight w:val="none"/>
          <w:shd w:val="clear"/>
          <w:lang w:eastAsia="zh-CN"/>
        </w:rPr>
        <w:t>，</w:t>
      </w:r>
      <w:r>
        <w:rPr>
          <w:rFonts w:hint="eastAsia" w:ascii="仿宋" w:hAnsi="仿宋" w:eastAsia="仿宋" w:cs="仿宋"/>
          <w:color w:val="000000" w:themeColor="text1"/>
          <w:kern w:val="0"/>
          <w:sz w:val="32"/>
          <w:szCs w:val="32"/>
          <w:highlight w:val="none"/>
          <w:lang w:eastAsia="zh-CN"/>
        </w:rPr>
        <w:t>制定了《“十四五”时期东城区体育事业和体育产业发展规划》、《东城区全民健身实施计划（</w:t>
      </w:r>
      <w:r>
        <w:rPr>
          <w:rFonts w:hint="eastAsia" w:ascii="仿宋" w:hAnsi="仿宋" w:eastAsia="仿宋" w:cs="仿宋"/>
          <w:color w:val="000000" w:themeColor="text1"/>
          <w:kern w:val="0"/>
          <w:sz w:val="32"/>
          <w:szCs w:val="32"/>
          <w:highlight w:val="none"/>
          <w:lang w:val="en-US" w:eastAsia="zh-CN"/>
        </w:rPr>
        <w:t>2021-2025年</w:t>
      </w:r>
      <w:r>
        <w:rPr>
          <w:rFonts w:hint="eastAsia" w:ascii="仿宋" w:hAnsi="仿宋" w:eastAsia="仿宋" w:cs="仿宋"/>
          <w:color w:val="000000" w:themeColor="text1"/>
          <w:kern w:val="0"/>
          <w:sz w:val="32"/>
          <w:szCs w:val="32"/>
          <w:highlight w:val="none"/>
          <w:lang w:eastAsia="zh-CN"/>
        </w:rPr>
        <w:t>）》，在强化顶层设计的基础上，</w:t>
      </w:r>
      <w:r>
        <w:rPr>
          <w:rFonts w:hint="eastAsia" w:ascii="仿宋" w:hAnsi="仿宋" w:eastAsia="仿宋" w:cs="仿宋"/>
          <w:color w:val="000000" w:themeColor="text1"/>
          <w:kern w:val="0"/>
          <w:sz w:val="32"/>
          <w:szCs w:val="32"/>
          <w:highlight w:val="none"/>
        </w:rPr>
        <w:t>通过“四大路径”推动全民健身工作向更高水平发展。</w:t>
      </w:r>
    </w:p>
    <w:p>
      <w:pPr>
        <w:snapToGrid w:val="0"/>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一是推进 “体育+”融合发展。紧抓“健康东城”</w:t>
      </w:r>
      <w:r>
        <w:rPr>
          <w:rFonts w:hint="eastAsia" w:ascii="仿宋" w:hAnsi="仿宋" w:eastAsia="仿宋" w:cs="仿宋"/>
          <w:color w:val="000000" w:themeColor="text1"/>
          <w:kern w:val="0"/>
          <w:sz w:val="32"/>
          <w:szCs w:val="32"/>
          <w:highlight w:val="none"/>
          <w:lang w:eastAsia="zh-CN"/>
        </w:rPr>
        <w:t>、“体育强区”</w:t>
      </w:r>
      <w:r>
        <w:rPr>
          <w:rFonts w:hint="eastAsia" w:ascii="仿宋" w:hAnsi="仿宋" w:eastAsia="仿宋" w:cs="仿宋"/>
          <w:color w:val="000000" w:themeColor="text1"/>
          <w:kern w:val="0"/>
          <w:sz w:val="32"/>
          <w:szCs w:val="32"/>
          <w:highlight w:val="none"/>
        </w:rPr>
        <w:t>战略主线，深入推动体教融合、体卫融合、“体育+”产业融合，在教育、健康、经济、文化、旅游等领域发挥联动效应。以中轴线申遗为契机，利用“云上中轴线”线上平台，开展徒步东城路线推介，</w:t>
      </w:r>
      <w:r>
        <w:rPr>
          <w:rFonts w:hint="eastAsia" w:ascii="仿宋" w:hAnsi="仿宋" w:eastAsia="仿宋" w:cs="仿宋"/>
          <w:color w:val="000000" w:themeColor="text1"/>
          <w:kern w:val="0"/>
          <w:sz w:val="32"/>
          <w:szCs w:val="32"/>
          <w:highlight w:val="none"/>
          <w:lang w:eastAsia="zh-CN"/>
        </w:rPr>
        <w:t>打造独具古都文化、红色文化的特色徒步路线，</w:t>
      </w:r>
      <w:r>
        <w:rPr>
          <w:rFonts w:hint="eastAsia" w:ascii="仿宋" w:hAnsi="仿宋" w:eastAsia="仿宋" w:cs="仿宋"/>
          <w:color w:val="000000" w:themeColor="text1"/>
          <w:kern w:val="0"/>
          <w:sz w:val="32"/>
          <w:szCs w:val="32"/>
          <w:highlight w:val="none"/>
        </w:rPr>
        <w:t>推进体育与东城区深厚的文化底蕴和丰富的旅游资源深度融合；与体育医院、体科所等国家顶级机构合作，构建集国民体质监测、运动伤病防治、运动康复相结合的医联体，推动健康关口前移；借国家体育总局驻地和体育产业聚集的优势，利用区域辐射效应，促进体育服务业提质增效。</w:t>
      </w:r>
    </w:p>
    <w:p>
      <w:pPr>
        <w:snapToGrid w:val="0"/>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二是完善全民健身“智慧化”服务设施。编制和实施东城区健身设施建设补短板五年行动计划，强化“六个身边”利民工程，探索城市公益性建设用地与全民健身用地空间复合式利用；推进全民健身设施智能化、数字化转型升级，拓展互联网线上线下相结合的智能化全民健身新空间和新型赛事活动，提升体育场地智能系统的利用率和智能化管理。</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jc w:val="both"/>
        <w:textAlignment w:val="baseline"/>
        <w:outlineLvl w:val="9"/>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三是做好全民健身“精细化”服务工作。财随事走、重在基层，资源下沉街道社区，扶持草根健身团队，办好百姓身边的赛事活动；进一步加强东城区体育人才高地建设，成立</w:t>
      </w:r>
      <w:r>
        <w:rPr>
          <w:rFonts w:hint="eastAsia" w:ascii="仿宋" w:hAnsi="仿宋" w:eastAsia="仿宋" w:cs="仿宋"/>
          <w:color w:val="000000" w:themeColor="text1"/>
          <w:kern w:val="0"/>
          <w:sz w:val="32"/>
          <w:szCs w:val="32"/>
          <w:highlight w:val="none"/>
          <w:lang w:eastAsia="zh-CN"/>
        </w:rPr>
        <w:t>“</w:t>
      </w:r>
      <w:r>
        <w:rPr>
          <w:rFonts w:hint="eastAsia" w:ascii="仿宋" w:hAnsi="仿宋" w:eastAsia="仿宋" w:cs="仿宋"/>
          <w:color w:val="000000" w:themeColor="text1"/>
          <w:kern w:val="0"/>
          <w:sz w:val="32"/>
          <w:szCs w:val="32"/>
          <w:highlight w:val="none"/>
        </w:rPr>
        <w:t>全民健身人才联盟</w:t>
      </w:r>
      <w:r>
        <w:rPr>
          <w:rFonts w:hint="eastAsia" w:ascii="仿宋" w:hAnsi="仿宋" w:eastAsia="仿宋" w:cs="仿宋"/>
          <w:color w:val="000000" w:themeColor="text1"/>
          <w:kern w:val="0"/>
          <w:sz w:val="32"/>
          <w:szCs w:val="32"/>
          <w:highlight w:val="none"/>
          <w:lang w:eastAsia="zh-CN"/>
        </w:rPr>
        <w:t>”</w:t>
      </w:r>
      <w:r>
        <w:rPr>
          <w:rFonts w:hint="eastAsia" w:ascii="仿宋" w:hAnsi="仿宋" w:eastAsia="仿宋" w:cs="仿宋"/>
          <w:color w:val="000000" w:themeColor="text1"/>
          <w:kern w:val="0"/>
          <w:sz w:val="32"/>
          <w:szCs w:val="32"/>
          <w:highlight w:val="none"/>
        </w:rPr>
        <w:t>，提升东城区全民健身人才服务能力、吸引人才聚集；借助“奥运冠军联盟”开展冠军进校园系列活动，发挥体育育人的重要作用；加强政府购买服务力度，引导社会资本参与赛事活动，双轮驱动助力发展；因地制宜、灵活多样，打造东城区特色的全民健身品牌。</w:t>
      </w:r>
    </w:p>
    <w:p>
      <w:pPr>
        <w:spacing w:line="560" w:lineRule="exact"/>
        <w:ind w:firstLine="640" w:firstLineChars="200"/>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四是管理好、运用好北京冬奥遗产。以习近平总书记在北京冬奥会、冬残奥会总结表彰大会上的讲话为指引，积极谋划、接续奋斗，管理好、运用好场馆设施等物质遗产，以及冰雪文化和人才遗产</w:t>
      </w:r>
      <w:r>
        <w:rPr>
          <w:rFonts w:hint="eastAsia" w:ascii="仿宋" w:hAnsi="仿宋" w:eastAsia="仿宋" w:cs="仿宋"/>
          <w:color w:val="000000" w:themeColor="text1"/>
          <w:kern w:val="0"/>
          <w:sz w:val="32"/>
          <w:szCs w:val="32"/>
          <w:highlight w:val="none"/>
          <w:lang w:eastAsia="zh-CN"/>
        </w:rPr>
        <w:t>。</w:t>
      </w:r>
      <w:r>
        <w:rPr>
          <w:rFonts w:hint="eastAsia" w:ascii="仿宋" w:hAnsi="仿宋" w:eastAsia="仿宋" w:cs="仿宋"/>
          <w:color w:val="000000" w:themeColor="text1"/>
          <w:kern w:val="0"/>
          <w:sz w:val="32"/>
          <w:szCs w:val="32"/>
          <w:highlight w:val="none"/>
        </w:rPr>
        <w:t>充分利用东城的区位优势，践行“崇文争先”理念，紧紧聚焦体育协会改革、企业改制、体育产业发展等契机，吸引冰雪运动人才、冰雪项目企业落户东城，通过市场对资源的配置作用，使东城区体育资源优势真正转化为发展优势，实现冬奥遗产利用效益最大化。</w:t>
      </w:r>
    </w:p>
    <w:p>
      <w:pPr>
        <w:pStyle w:val="11"/>
        <w:widowControl/>
        <w:spacing w:line="560" w:lineRule="exact"/>
        <w:ind w:firstLine="0" w:firstLineChars="0"/>
        <w:jc w:val="left"/>
        <w:textAlignment w:val="baseline"/>
        <w:rPr>
          <w:rFonts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lang w:val="en-US" w:eastAsia="zh-CN"/>
        </w:rPr>
        <w:t xml:space="preserve">    </w:t>
      </w:r>
      <w:r>
        <w:rPr>
          <w:rFonts w:hint="eastAsia" w:ascii="仿宋" w:hAnsi="仿宋" w:eastAsia="仿宋" w:cs="仿宋"/>
          <w:color w:val="000000" w:themeColor="text1"/>
          <w:kern w:val="0"/>
          <w:sz w:val="32"/>
          <w:szCs w:val="32"/>
          <w:highlight w:val="none"/>
        </w:rPr>
        <w:t>又是一年春草绿，依然十里杏花红。在全民运动健身模范区创建的日日夜夜里，倾注了东城人的心血和操劳，坚持成果人民共享，让人民身心更健康、生活更美好，我们矢志不渝。</w:t>
      </w:r>
    </w:p>
    <w:p>
      <w:pPr>
        <w:pStyle w:val="11"/>
        <w:widowControl/>
        <w:spacing w:line="560" w:lineRule="exact"/>
        <w:ind w:firstLine="640" w:firstLineChars="200"/>
        <w:jc w:val="left"/>
        <w:textAlignment w:val="baseline"/>
        <w:rPr>
          <w:rFonts w:hint="eastAsia" w:ascii="仿宋" w:hAnsi="仿宋" w:eastAsia="仿宋" w:cs="仿宋"/>
          <w:color w:val="000000" w:themeColor="text1"/>
          <w:kern w:val="0"/>
          <w:sz w:val="32"/>
          <w:szCs w:val="32"/>
          <w:highlight w:val="none"/>
        </w:rPr>
      </w:pPr>
      <w:r>
        <w:rPr>
          <w:rFonts w:hint="eastAsia" w:ascii="仿宋" w:hAnsi="仿宋" w:eastAsia="仿宋" w:cs="仿宋"/>
          <w:color w:val="000000" w:themeColor="text1"/>
          <w:kern w:val="0"/>
          <w:sz w:val="32"/>
          <w:szCs w:val="32"/>
          <w:highlight w:val="none"/>
        </w:rPr>
        <w:t>抓好全民健身工作这一长久的惠民工程，是东城区委、区政府义不容辞的责任和使命，在今后的工作中将一如既往地高度重视并充分发挥体育在促进人的全面发展中的重要作用，继续推进体育改革创新，完善全民健身服务体系，增强广大人民群众特别是青少年体育健身意识，增强竞技体育的综合实力和国际竞争力，为把东城区建设成为体育强区而不懈奋斗。</w:t>
      </w:r>
    </w:p>
    <w:p>
      <w:pPr>
        <w:pStyle w:val="11"/>
        <w:widowControl/>
        <w:spacing w:line="560" w:lineRule="exact"/>
        <w:ind w:firstLine="640" w:firstLineChars="200"/>
        <w:jc w:val="left"/>
        <w:textAlignment w:val="baseline"/>
        <w:rPr>
          <w:rFonts w:hint="eastAsia" w:ascii="仿宋" w:hAnsi="仿宋" w:eastAsia="仿宋" w:cs="仿宋"/>
          <w:color w:val="000000" w:themeColor="text1"/>
          <w:kern w:val="0"/>
          <w:sz w:val="32"/>
          <w:szCs w:val="32"/>
          <w:highlight w:val="none"/>
        </w:rPr>
      </w:pPr>
    </w:p>
    <w:p>
      <w:pPr>
        <w:pStyle w:val="11"/>
        <w:widowControl/>
        <w:spacing w:line="560" w:lineRule="exact"/>
        <w:ind w:firstLine="640" w:firstLineChars="200"/>
        <w:jc w:val="left"/>
        <w:textAlignment w:val="baseline"/>
        <w:rPr>
          <w:rFonts w:hint="eastAsia" w:ascii="仿宋" w:hAnsi="仿宋" w:eastAsia="仿宋" w:cs="仿宋"/>
          <w:color w:val="000000" w:themeColor="text1"/>
          <w:kern w:val="0"/>
          <w:sz w:val="32"/>
          <w:szCs w:val="32"/>
          <w:highlight w:val="none"/>
        </w:rPr>
      </w:pPr>
    </w:p>
    <w:p>
      <w:pPr>
        <w:pStyle w:val="11"/>
        <w:widowControl/>
        <w:spacing w:line="560" w:lineRule="exact"/>
        <w:ind w:firstLine="640" w:firstLineChars="200"/>
        <w:jc w:val="left"/>
        <w:textAlignment w:val="baseline"/>
        <w:rPr>
          <w:rFonts w:ascii="仿宋" w:hAnsi="仿宋" w:eastAsia="仿宋" w:cs="仿宋"/>
          <w:color w:val="000000" w:themeColor="text1"/>
          <w:kern w:val="0"/>
          <w:sz w:val="32"/>
          <w:szCs w:val="32"/>
          <w:highlight w:val="none"/>
        </w:rPr>
      </w:pPr>
    </w:p>
    <w:sectPr>
      <w:headerReference r:id="rId6" w:type="first"/>
      <w:footerReference r:id="rId9" w:type="first"/>
      <w:headerReference r:id="rId4" w:type="default"/>
      <w:footerReference r:id="rId7" w:type="default"/>
      <w:headerReference r:id="rId5" w:type="even"/>
      <w:footerReference r:id="rId8" w:type="even"/>
      <w:pgSz w:w="11906" w:h="16838"/>
      <w:pgMar w:top="2098" w:right="1474" w:bottom="1984" w:left="1587" w:header="851" w:footer="992" w:gutter="0"/>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楷体_GB2312">
    <w:altName w:val="宋体"/>
    <w:panose1 w:val="00000000000000000000"/>
    <w:charset w:val="86"/>
    <w:family w:val="auto"/>
    <w:pitch w:val="default"/>
    <w:sig w:usb0="00000000" w:usb1="00000000" w:usb2="00000000"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4</w:t>
    </w:r>
    <w: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11"/>
        <w:widowControl/>
        <w:spacing w:line="320" w:lineRule="exact"/>
        <w:ind w:firstLine="480" w:firstLineChars="200"/>
        <w:jc w:val="left"/>
        <w:textAlignment w:val="baseline"/>
      </w:pPr>
      <w:r>
        <w:rPr>
          <w:rStyle w:val="17"/>
        </w:rPr>
        <w:footnoteRef/>
      </w:r>
      <w:r>
        <w:t xml:space="preserve"> </w:t>
      </w:r>
      <w:r>
        <w:rPr>
          <w:rFonts w:hint="eastAsia" w:ascii="仿宋" w:hAnsi="仿宋" w:eastAsia="仿宋" w:cs="仿宋"/>
          <w:color w:val="000000"/>
          <w:kern w:val="0"/>
        </w:rPr>
        <w:t>即把全民健身工作纳入区委、区政府、区政协工作报告，纳入区政府折子工程和区政府绩效考核，纳入区级财政预算</w:t>
      </w:r>
    </w:p>
  </w:footnote>
  <w:footnote w:id="1">
    <w:p>
      <w:pPr>
        <w:pStyle w:val="10"/>
        <w:spacing w:line="320" w:lineRule="exact"/>
        <w:ind w:firstLine="480" w:firstLineChars="200"/>
        <w:rPr>
          <w:rFonts w:ascii="仿宋" w:hAnsi="仿宋" w:eastAsia="仿宋"/>
          <w:sz w:val="24"/>
        </w:rPr>
      </w:pPr>
      <w:r>
        <w:rPr>
          <w:rStyle w:val="17"/>
          <w:sz w:val="24"/>
        </w:rPr>
        <w:footnoteRef/>
      </w:r>
      <w:r>
        <w:t xml:space="preserve"> </w:t>
      </w:r>
      <w:r>
        <w:rPr>
          <w:rFonts w:hint="eastAsia" w:ascii="仿宋" w:hAnsi="仿宋" w:eastAsia="仿宋" w:cs="仿宋_GB2312"/>
          <w:sz w:val="24"/>
        </w:rPr>
        <w:t>幼有所育、学有所教、劳有所得、病有所医、老有所养、住有所居、弱有所扶</w:t>
      </w:r>
    </w:p>
  </w:footnote>
  <w:footnote w:id="2">
    <w:p>
      <w:pPr>
        <w:pStyle w:val="10"/>
        <w:ind w:firstLine="480" w:firstLineChars="200"/>
        <w:rPr>
          <w:rFonts w:ascii="仿宋" w:hAnsi="仿宋" w:eastAsia="仿宋"/>
          <w:sz w:val="24"/>
        </w:rPr>
      </w:pPr>
      <w:r>
        <w:rPr>
          <w:rStyle w:val="17"/>
          <w:sz w:val="24"/>
        </w:rPr>
        <w:footnoteRef/>
      </w:r>
      <w:r>
        <w:rPr>
          <w:rFonts w:ascii="仿宋" w:hAnsi="仿宋" w:eastAsia="仿宋"/>
          <w:sz w:val="24"/>
        </w:rPr>
        <w:t xml:space="preserve"> </w:t>
      </w:r>
      <w:r>
        <w:rPr>
          <w:rFonts w:hint="eastAsia" w:ascii="仿宋" w:hAnsi="仿宋" w:eastAsia="仿宋"/>
          <w:sz w:val="24"/>
        </w:rPr>
        <w:t>便利性、宜居性、多样性、公正性、安全性</w:t>
      </w:r>
    </w:p>
  </w:footnote>
  <w:footnote w:id="3">
    <w:p>
      <w:pPr>
        <w:pStyle w:val="10"/>
      </w:pPr>
      <w:r>
        <w:rPr>
          <w:rStyle w:val="17"/>
        </w:rPr>
        <w:footnoteRef/>
      </w:r>
      <w:r>
        <w:t xml:space="preserve"> </w:t>
      </w:r>
      <w:r>
        <w:rPr>
          <w:rFonts w:hint="eastAsia" w:ascii="仿宋" w:hAnsi="仿宋" w:eastAsia="仿宋" w:cs="仿宋"/>
          <w:color w:val="000000"/>
          <w:kern w:val="0"/>
          <w:sz w:val="24"/>
        </w:rPr>
        <w:t>天坛公园的一批健身群众，平均年龄超过60岁，以在单杠、双杠上进行旋转、劈叉、俯卧撑和大回环等动作为主要健身内容，被网友称为“天坛大爷”</w:t>
      </w:r>
    </w:p>
  </w:footnote>
  <w:footnote w:id="4">
    <w:p>
      <w:pPr>
        <w:pStyle w:val="10"/>
      </w:pPr>
      <w:r>
        <w:rPr>
          <w:rStyle w:val="17"/>
          <w:color w:val="000000" w:themeColor="text1"/>
        </w:rPr>
        <w:footnoteRef/>
      </w:r>
      <w:r>
        <w:rPr>
          <w:color w:val="000000" w:themeColor="text1"/>
        </w:rPr>
        <w:t xml:space="preserve"> </w:t>
      </w:r>
      <w:r>
        <w:rPr>
          <w:rFonts w:hint="eastAsia" w:ascii="仿宋" w:hAnsi="仿宋" w:eastAsia="仿宋" w:cs="仿宋_GB2312"/>
          <w:sz w:val="24"/>
        </w:rPr>
        <w:t>健全群众身边的体育健身组织、建设群众身边的体育健身设施、丰富群众身边的体育健身活动、支持群众身边的体育健身赛事、加强群众身边的体育健身指导、弘扬群众身边的体育健身文化</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3D82D0"/>
    <w:multiLevelType w:val="singleLevel"/>
    <w:tmpl w:val="623D82D0"/>
    <w:lvl w:ilvl="0" w:tentative="0">
      <w:start w:val="1"/>
      <w:numFmt w:val="chineseCounting"/>
      <w:suff w:val="nothing"/>
      <w:lvlText w:val="%1、"/>
      <w:lvlJc w:val="left"/>
    </w:lvl>
  </w:abstractNum>
  <w:abstractNum w:abstractNumId="1">
    <w:nsid w:val="625B9B4A"/>
    <w:multiLevelType w:val="singleLevel"/>
    <w:tmpl w:val="625B9B4A"/>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4"/>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172A27"/>
    <w:rsid w:val="00026942"/>
    <w:rsid w:val="00040609"/>
    <w:rsid w:val="00047676"/>
    <w:rsid w:val="000569CE"/>
    <w:rsid w:val="00060D7A"/>
    <w:rsid w:val="000649ED"/>
    <w:rsid w:val="0007456F"/>
    <w:rsid w:val="000968F3"/>
    <w:rsid w:val="000A52C2"/>
    <w:rsid w:val="000C21BD"/>
    <w:rsid w:val="000D13C0"/>
    <w:rsid w:val="000E1F9E"/>
    <w:rsid w:val="000E76CD"/>
    <w:rsid w:val="00100C24"/>
    <w:rsid w:val="00105B58"/>
    <w:rsid w:val="00160606"/>
    <w:rsid w:val="00172A27"/>
    <w:rsid w:val="001936A0"/>
    <w:rsid w:val="001D1958"/>
    <w:rsid w:val="001D40ED"/>
    <w:rsid w:val="001D45C1"/>
    <w:rsid w:val="00221776"/>
    <w:rsid w:val="00223BE9"/>
    <w:rsid w:val="00254705"/>
    <w:rsid w:val="00274B13"/>
    <w:rsid w:val="002A6471"/>
    <w:rsid w:val="002F593B"/>
    <w:rsid w:val="00305371"/>
    <w:rsid w:val="003108E7"/>
    <w:rsid w:val="003134CA"/>
    <w:rsid w:val="00313706"/>
    <w:rsid w:val="00313C4E"/>
    <w:rsid w:val="00324C4B"/>
    <w:rsid w:val="00330B1E"/>
    <w:rsid w:val="00375F1F"/>
    <w:rsid w:val="00380525"/>
    <w:rsid w:val="00414BF9"/>
    <w:rsid w:val="00435A4D"/>
    <w:rsid w:val="004360F4"/>
    <w:rsid w:val="00444C83"/>
    <w:rsid w:val="0046428A"/>
    <w:rsid w:val="0047344C"/>
    <w:rsid w:val="004B3773"/>
    <w:rsid w:val="004B485A"/>
    <w:rsid w:val="004E6E8D"/>
    <w:rsid w:val="00515252"/>
    <w:rsid w:val="005208DF"/>
    <w:rsid w:val="00531C69"/>
    <w:rsid w:val="00536E00"/>
    <w:rsid w:val="00545B4C"/>
    <w:rsid w:val="00553FE7"/>
    <w:rsid w:val="00593454"/>
    <w:rsid w:val="0059432C"/>
    <w:rsid w:val="005B03BC"/>
    <w:rsid w:val="005F29AA"/>
    <w:rsid w:val="005F5F26"/>
    <w:rsid w:val="00617A29"/>
    <w:rsid w:val="00633CBB"/>
    <w:rsid w:val="006A036B"/>
    <w:rsid w:val="006A0E59"/>
    <w:rsid w:val="006B6D65"/>
    <w:rsid w:val="00773B4A"/>
    <w:rsid w:val="00780BCF"/>
    <w:rsid w:val="0079551A"/>
    <w:rsid w:val="00795BC3"/>
    <w:rsid w:val="007B171B"/>
    <w:rsid w:val="007E7E65"/>
    <w:rsid w:val="0080625D"/>
    <w:rsid w:val="00815F66"/>
    <w:rsid w:val="00832336"/>
    <w:rsid w:val="0083407A"/>
    <w:rsid w:val="008364EB"/>
    <w:rsid w:val="00860D70"/>
    <w:rsid w:val="00864FC0"/>
    <w:rsid w:val="00884E58"/>
    <w:rsid w:val="0088717A"/>
    <w:rsid w:val="008876DB"/>
    <w:rsid w:val="008C0444"/>
    <w:rsid w:val="008F6583"/>
    <w:rsid w:val="00910CA5"/>
    <w:rsid w:val="009266F1"/>
    <w:rsid w:val="00951FF2"/>
    <w:rsid w:val="0096754E"/>
    <w:rsid w:val="009B239E"/>
    <w:rsid w:val="009C486D"/>
    <w:rsid w:val="009D1EA0"/>
    <w:rsid w:val="009E428D"/>
    <w:rsid w:val="009F67B8"/>
    <w:rsid w:val="00A54D0C"/>
    <w:rsid w:val="00A807DF"/>
    <w:rsid w:val="00A86FB0"/>
    <w:rsid w:val="00AD3F14"/>
    <w:rsid w:val="00B5117D"/>
    <w:rsid w:val="00B62C74"/>
    <w:rsid w:val="00B761A4"/>
    <w:rsid w:val="00B864F0"/>
    <w:rsid w:val="00BA4020"/>
    <w:rsid w:val="00BC59BA"/>
    <w:rsid w:val="00BD5AB0"/>
    <w:rsid w:val="00BF34B9"/>
    <w:rsid w:val="00BF759B"/>
    <w:rsid w:val="00C33256"/>
    <w:rsid w:val="00C36384"/>
    <w:rsid w:val="00C5234F"/>
    <w:rsid w:val="00C560B4"/>
    <w:rsid w:val="00C71EE6"/>
    <w:rsid w:val="00C84BCB"/>
    <w:rsid w:val="00C87CC9"/>
    <w:rsid w:val="00C907DB"/>
    <w:rsid w:val="00CA01F7"/>
    <w:rsid w:val="00CA62BD"/>
    <w:rsid w:val="00CB2573"/>
    <w:rsid w:val="00CB711B"/>
    <w:rsid w:val="00CB79AB"/>
    <w:rsid w:val="00CC4692"/>
    <w:rsid w:val="00CC797E"/>
    <w:rsid w:val="00CD709C"/>
    <w:rsid w:val="00CE6774"/>
    <w:rsid w:val="00D12B1F"/>
    <w:rsid w:val="00D318EC"/>
    <w:rsid w:val="00D324F2"/>
    <w:rsid w:val="00D43E1C"/>
    <w:rsid w:val="00D571FB"/>
    <w:rsid w:val="00D7549A"/>
    <w:rsid w:val="00D8542E"/>
    <w:rsid w:val="00D90BEA"/>
    <w:rsid w:val="00DB650E"/>
    <w:rsid w:val="00DC506F"/>
    <w:rsid w:val="00DD382F"/>
    <w:rsid w:val="00E154D2"/>
    <w:rsid w:val="00E20970"/>
    <w:rsid w:val="00E20A1B"/>
    <w:rsid w:val="00E4284A"/>
    <w:rsid w:val="00E433E2"/>
    <w:rsid w:val="00E6187A"/>
    <w:rsid w:val="00E61D34"/>
    <w:rsid w:val="00EA358F"/>
    <w:rsid w:val="00ED3477"/>
    <w:rsid w:val="00ED3D03"/>
    <w:rsid w:val="00ED4004"/>
    <w:rsid w:val="00ED70B8"/>
    <w:rsid w:val="00EF00CC"/>
    <w:rsid w:val="00F117EE"/>
    <w:rsid w:val="00F13C73"/>
    <w:rsid w:val="00F146D2"/>
    <w:rsid w:val="00F20639"/>
    <w:rsid w:val="00F27BE9"/>
    <w:rsid w:val="00F3159B"/>
    <w:rsid w:val="00F5500D"/>
    <w:rsid w:val="00F63680"/>
    <w:rsid w:val="00F7690A"/>
    <w:rsid w:val="00FC43CD"/>
    <w:rsid w:val="00FD5FFB"/>
    <w:rsid w:val="00FE1F6E"/>
    <w:rsid w:val="016B0972"/>
    <w:rsid w:val="0183728A"/>
    <w:rsid w:val="01981D7B"/>
    <w:rsid w:val="01E45D36"/>
    <w:rsid w:val="01F0403A"/>
    <w:rsid w:val="021C3060"/>
    <w:rsid w:val="0252665D"/>
    <w:rsid w:val="02A837E9"/>
    <w:rsid w:val="02DD25A8"/>
    <w:rsid w:val="035070DE"/>
    <w:rsid w:val="03643ADB"/>
    <w:rsid w:val="036D482C"/>
    <w:rsid w:val="03757279"/>
    <w:rsid w:val="037C22A0"/>
    <w:rsid w:val="039830BB"/>
    <w:rsid w:val="03E34FE1"/>
    <w:rsid w:val="03FA46FD"/>
    <w:rsid w:val="04292B4D"/>
    <w:rsid w:val="043A36A8"/>
    <w:rsid w:val="048F3A86"/>
    <w:rsid w:val="0495080F"/>
    <w:rsid w:val="049F2305"/>
    <w:rsid w:val="04D253F8"/>
    <w:rsid w:val="053E2528"/>
    <w:rsid w:val="055E085F"/>
    <w:rsid w:val="05676348"/>
    <w:rsid w:val="05A86AF8"/>
    <w:rsid w:val="06044021"/>
    <w:rsid w:val="06434355"/>
    <w:rsid w:val="0664230B"/>
    <w:rsid w:val="06653670"/>
    <w:rsid w:val="06844DBE"/>
    <w:rsid w:val="06BD404D"/>
    <w:rsid w:val="06D92F29"/>
    <w:rsid w:val="06E83F5D"/>
    <w:rsid w:val="06F05772"/>
    <w:rsid w:val="06F27618"/>
    <w:rsid w:val="06FC3783"/>
    <w:rsid w:val="07117EA5"/>
    <w:rsid w:val="07130CA2"/>
    <w:rsid w:val="075E2523"/>
    <w:rsid w:val="07704CF1"/>
    <w:rsid w:val="077321E5"/>
    <w:rsid w:val="0795267D"/>
    <w:rsid w:val="07D67357"/>
    <w:rsid w:val="07EF2C4E"/>
    <w:rsid w:val="080E4B02"/>
    <w:rsid w:val="084044A6"/>
    <w:rsid w:val="08691CBF"/>
    <w:rsid w:val="087778DA"/>
    <w:rsid w:val="08D04051"/>
    <w:rsid w:val="08E510A5"/>
    <w:rsid w:val="08EE7336"/>
    <w:rsid w:val="09134173"/>
    <w:rsid w:val="095430BB"/>
    <w:rsid w:val="09613364"/>
    <w:rsid w:val="09F5412B"/>
    <w:rsid w:val="0A0F26E1"/>
    <w:rsid w:val="0A34344D"/>
    <w:rsid w:val="0A445CEB"/>
    <w:rsid w:val="0A622641"/>
    <w:rsid w:val="0A7137D4"/>
    <w:rsid w:val="0A8B1EC7"/>
    <w:rsid w:val="0A960A6B"/>
    <w:rsid w:val="0AA12680"/>
    <w:rsid w:val="0ABD2EA9"/>
    <w:rsid w:val="0ACA600A"/>
    <w:rsid w:val="0AE25D46"/>
    <w:rsid w:val="0B0D77B0"/>
    <w:rsid w:val="0B1957C1"/>
    <w:rsid w:val="0B3B07CF"/>
    <w:rsid w:val="0B4C0308"/>
    <w:rsid w:val="0B531357"/>
    <w:rsid w:val="0B705E33"/>
    <w:rsid w:val="0BB0283D"/>
    <w:rsid w:val="0BBC084E"/>
    <w:rsid w:val="0C0B6F66"/>
    <w:rsid w:val="0C17279F"/>
    <w:rsid w:val="0C2A6393"/>
    <w:rsid w:val="0C7D5C68"/>
    <w:rsid w:val="0CCB1154"/>
    <w:rsid w:val="0D0C1160"/>
    <w:rsid w:val="0D811433"/>
    <w:rsid w:val="0DC444A6"/>
    <w:rsid w:val="0E4E4219"/>
    <w:rsid w:val="0E5C591E"/>
    <w:rsid w:val="0ED07FF7"/>
    <w:rsid w:val="0F94238A"/>
    <w:rsid w:val="0F971E23"/>
    <w:rsid w:val="0FB70159"/>
    <w:rsid w:val="0FE30C1D"/>
    <w:rsid w:val="100E52E5"/>
    <w:rsid w:val="101B41AE"/>
    <w:rsid w:val="104547AB"/>
    <w:rsid w:val="104F5D4E"/>
    <w:rsid w:val="105015D1"/>
    <w:rsid w:val="10863CAA"/>
    <w:rsid w:val="10960446"/>
    <w:rsid w:val="10C364B7"/>
    <w:rsid w:val="111B6540"/>
    <w:rsid w:val="113E3458"/>
    <w:rsid w:val="1146248E"/>
    <w:rsid w:val="115769F6"/>
    <w:rsid w:val="116049F6"/>
    <w:rsid w:val="11D852E2"/>
    <w:rsid w:val="11E15324"/>
    <w:rsid w:val="11F62C07"/>
    <w:rsid w:val="12160F3D"/>
    <w:rsid w:val="12841571"/>
    <w:rsid w:val="12ED16C8"/>
    <w:rsid w:val="131C29E9"/>
    <w:rsid w:val="13BF5A76"/>
    <w:rsid w:val="13C816CD"/>
    <w:rsid w:val="13D42198"/>
    <w:rsid w:val="13EC66C8"/>
    <w:rsid w:val="1408243B"/>
    <w:rsid w:val="14517563"/>
    <w:rsid w:val="145A1921"/>
    <w:rsid w:val="147C16AC"/>
    <w:rsid w:val="14CC5EA0"/>
    <w:rsid w:val="14DE7306"/>
    <w:rsid w:val="15411BC4"/>
    <w:rsid w:val="155B4088"/>
    <w:rsid w:val="15B21766"/>
    <w:rsid w:val="15F42192"/>
    <w:rsid w:val="161E6859"/>
    <w:rsid w:val="16A17D2C"/>
    <w:rsid w:val="16B67CD2"/>
    <w:rsid w:val="171C6E31"/>
    <w:rsid w:val="1723614E"/>
    <w:rsid w:val="172D0D7B"/>
    <w:rsid w:val="176B2A91"/>
    <w:rsid w:val="176E7480"/>
    <w:rsid w:val="178570A5"/>
    <w:rsid w:val="179F5708"/>
    <w:rsid w:val="17B0376D"/>
    <w:rsid w:val="18062521"/>
    <w:rsid w:val="18612BF7"/>
    <w:rsid w:val="187B2FC0"/>
    <w:rsid w:val="1889564E"/>
    <w:rsid w:val="18B67417"/>
    <w:rsid w:val="18D626C6"/>
    <w:rsid w:val="18ED280C"/>
    <w:rsid w:val="19067202"/>
    <w:rsid w:val="19067D65"/>
    <w:rsid w:val="19420C93"/>
    <w:rsid w:val="19437427"/>
    <w:rsid w:val="19DA1AF8"/>
    <w:rsid w:val="19E33973"/>
    <w:rsid w:val="19F0252C"/>
    <w:rsid w:val="1A1F168B"/>
    <w:rsid w:val="1A2608F3"/>
    <w:rsid w:val="1A260C83"/>
    <w:rsid w:val="1A466C29"/>
    <w:rsid w:val="1A472727"/>
    <w:rsid w:val="1ADF3785"/>
    <w:rsid w:val="1AF57CC6"/>
    <w:rsid w:val="1B3F26C4"/>
    <w:rsid w:val="1B462190"/>
    <w:rsid w:val="1B6B3188"/>
    <w:rsid w:val="1B796187"/>
    <w:rsid w:val="1BD73B3C"/>
    <w:rsid w:val="1BD937BC"/>
    <w:rsid w:val="1BEC090D"/>
    <w:rsid w:val="1C0A3E16"/>
    <w:rsid w:val="1C3A255C"/>
    <w:rsid w:val="1C3C1C68"/>
    <w:rsid w:val="1C4508ED"/>
    <w:rsid w:val="1C9B12FC"/>
    <w:rsid w:val="1D3B468F"/>
    <w:rsid w:val="1D3D65BC"/>
    <w:rsid w:val="1D5E26BE"/>
    <w:rsid w:val="1D844AD9"/>
    <w:rsid w:val="1DBC6D7B"/>
    <w:rsid w:val="1DCA77EF"/>
    <w:rsid w:val="1DE13B91"/>
    <w:rsid w:val="1DF179DA"/>
    <w:rsid w:val="1E0E11DD"/>
    <w:rsid w:val="1E766326"/>
    <w:rsid w:val="1E8424A1"/>
    <w:rsid w:val="1EB109E6"/>
    <w:rsid w:val="1EC30F9D"/>
    <w:rsid w:val="1F1C3AF0"/>
    <w:rsid w:val="1F271CAA"/>
    <w:rsid w:val="1F661D83"/>
    <w:rsid w:val="1F9D516C"/>
    <w:rsid w:val="200B57A0"/>
    <w:rsid w:val="202B0253"/>
    <w:rsid w:val="204C6209"/>
    <w:rsid w:val="209033B2"/>
    <w:rsid w:val="209F7D5F"/>
    <w:rsid w:val="20A26F98"/>
    <w:rsid w:val="20DE0764"/>
    <w:rsid w:val="20E43CE3"/>
    <w:rsid w:val="20EE1616"/>
    <w:rsid w:val="21402228"/>
    <w:rsid w:val="223F1EBC"/>
    <w:rsid w:val="22682C67"/>
    <w:rsid w:val="22B2074B"/>
    <w:rsid w:val="22C42E85"/>
    <w:rsid w:val="230775E8"/>
    <w:rsid w:val="23443CE8"/>
    <w:rsid w:val="235525E5"/>
    <w:rsid w:val="237A63C1"/>
    <w:rsid w:val="239D6608"/>
    <w:rsid w:val="23DB248A"/>
    <w:rsid w:val="23DC5161"/>
    <w:rsid w:val="24061828"/>
    <w:rsid w:val="2411343C"/>
    <w:rsid w:val="24485B15"/>
    <w:rsid w:val="24533EA6"/>
    <w:rsid w:val="2489657E"/>
    <w:rsid w:val="24A8023C"/>
    <w:rsid w:val="24AE7F3C"/>
    <w:rsid w:val="24D12D46"/>
    <w:rsid w:val="24E56819"/>
    <w:rsid w:val="25171665"/>
    <w:rsid w:val="25A34ACC"/>
    <w:rsid w:val="25DC23FE"/>
    <w:rsid w:val="26220E5B"/>
    <w:rsid w:val="26521216"/>
    <w:rsid w:val="266E005E"/>
    <w:rsid w:val="267C2231"/>
    <w:rsid w:val="26D32C40"/>
    <w:rsid w:val="26DE0FD1"/>
    <w:rsid w:val="27A12394"/>
    <w:rsid w:val="27EE0665"/>
    <w:rsid w:val="27F372E4"/>
    <w:rsid w:val="285A17C2"/>
    <w:rsid w:val="28A27587"/>
    <w:rsid w:val="29082BE0"/>
    <w:rsid w:val="292A6EC8"/>
    <w:rsid w:val="29624AC5"/>
    <w:rsid w:val="29955CC7"/>
    <w:rsid w:val="29D93334"/>
    <w:rsid w:val="29F3304F"/>
    <w:rsid w:val="29F501FA"/>
    <w:rsid w:val="2A427C24"/>
    <w:rsid w:val="2A7049BB"/>
    <w:rsid w:val="2AB959D0"/>
    <w:rsid w:val="2AE073B4"/>
    <w:rsid w:val="2AE248C0"/>
    <w:rsid w:val="2AF71093"/>
    <w:rsid w:val="2B2E3295"/>
    <w:rsid w:val="2B4E13F9"/>
    <w:rsid w:val="2B8508D0"/>
    <w:rsid w:val="2BE713D5"/>
    <w:rsid w:val="2C8C7F23"/>
    <w:rsid w:val="2CB35798"/>
    <w:rsid w:val="2D1A688D"/>
    <w:rsid w:val="2D8127B5"/>
    <w:rsid w:val="2D87143F"/>
    <w:rsid w:val="2DFB34FE"/>
    <w:rsid w:val="2E334DDB"/>
    <w:rsid w:val="2E894FBE"/>
    <w:rsid w:val="2EC0745E"/>
    <w:rsid w:val="2F2D4FF3"/>
    <w:rsid w:val="2F737391"/>
    <w:rsid w:val="2F914F8D"/>
    <w:rsid w:val="2FC51CEF"/>
    <w:rsid w:val="30413836"/>
    <w:rsid w:val="30A957E4"/>
    <w:rsid w:val="30E30E41"/>
    <w:rsid w:val="30E50CBC"/>
    <w:rsid w:val="31431D59"/>
    <w:rsid w:val="31613CF5"/>
    <w:rsid w:val="330752C3"/>
    <w:rsid w:val="331F61ED"/>
    <w:rsid w:val="332D0D86"/>
    <w:rsid w:val="33B679E6"/>
    <w:rsid w:val="33CD760B"/>
    <w:rsid w:val="34022063"/>
    <w:rsid w:val="34650A83"/>
    <w:rsid w:val="34C40D27"/>
    <w:rsid w:val="351511D9"/>
    <w:rsid w:val="351D60B0"/>
    <w:rsid w:val="352C11CF"/>
    <w:rsid w:val="35324954"/>
    <w:rsid w:val="359720FA"/>
    <w:rsid w:val="35F55D16"/>
    <w:rsid w:val="35F75996"/>
    <w:rsid w:val="368F60CC"/>
    <w:rsid w:val="36AC7A6D"/>
    <w:rsid w:val="36C070BE"/>
    <w:rsid w:val="36EC2A2B"/>
    <w:rsid w:val="370C3869"/>
    <w:rsid w:val="37253E8A"/>
    <w:rsid w:val="37790E8C"/>
    <w:rsid w:val="37A52F0C"/>
    <w:rsid w:val="37F222D9"/>
    <w:rsid w:val="37F84F17"/>
    <w:rsid w:val="38060037"/>
    <w:rsid w:val="38417ADA"/>
    <w:rsid w:val="386D5A01"/>
    <w:rsid w:val="388A7983"/>
    <w:rsid w:val="389205E6"/>
    <w:rsid w:val="38C75738"/>
    <w:rsid w:val="38FC6E9D"/>
    <w:rsid w:val="390010D7"/>
    <w:rsid w:val="390E5F29"/>
    <w:rsid w:val="392F775D"/>
    <w:rsid w:val="39453E84"/>
    <w:rsid w:val="39827C7F"/>
    <w:rsid w:val="39AE5846"/>
    <w:rsid w:val="39B22ED3"/>
    <w:rsid w:val="39FA167E"/>
    <w:rsid w:val="3A5D43A5"/>
    <w:rsid w:val="3A7F4B06"/>
    <w:rsid w:val="3A935D24"/>
    <w:rsid w:val="3AB704E3"/>
    <w:rsid w:val="3AD60D98"/>
    <w:rsid w:val="3AFC7952"/>
    <w:rsid w:val="3B2D5F23"/>
    <w:rsid w:val="3B5C58C8"/>
    <w:rsid w:val="3B6405FB"/>
    <w:rsid w:val="3B807F2C"/>
    <w:rsid w:val="3B846932"/>
    <w:rsid w:val="3B8678B6"/>
    <w:rsid w:val="3B9340BE"/>
    <w:rsid w:val="3BB03D88"/>
    <w:rsid w:val="3BB371F1"/>
    <w:rsid w:val="3C2B6A1B"/>
    <w:rsid w:val="3C73403C"/>
    <w:rsid w:val="3C9526DB"/>
    <w:rsid w:val="3CB03AE4"/>
    <w:rsid w:val="3CB87B0D"/>
    <w:rsid w:val="3CDE7D55"/>
    <w:rsid w:val="3D5742AE"/>
    <w:rsid w:val="3D8D000C"/>
    <w:rsid w:val="3D9B1520"/>
    <w:rsid w:val="3DB774A5"/>
    <w:rsid w:val="3DB8304E"/>
    <w:rsid w:val="3E06241D"/>
    <w:rsid w:val="3E263682"/>
    <w:rsid w:val="3E4123BF"/>
    <w:rsid w:val="3E7F336A"/>
    <w:rsid w:val="3E9C6B44"/>
    <w:rsid w:val="3EBC06FE"/>
    <w:rsid w:val="3F0874F8"/>
    <w:rsid w:val="3F3F1BD0"/>
    <w:rsid w:val="3F675E35"/>
    <w:rsid w:val="3F71272F"/>
    <w:rsid w:val="3FAB2584"/>
    <w:rsid w:val="3FC40CAE"/>
    <w:rsid w:val="3FF7791A"/>
    <w:rsid w:val="402301B5"/>
    <w:rsid w:val="402C2BDD"/>
    <w:rsid w:val="404E1D8E"/>
    <w:rsid w:val="407F0314"/>
    <w:rsid w:val="40D914A8"/>
    <w:rsid w:val="411C67D5"/>
    <w:rsid w:val="413D3C14"/>
    <w:rsid w:val="41CA6CFC"/>
    <w:rsid w:val="41F63EF1"/>
    <w:rsid w:val="42064962"/>
    <w:rsid w:val="420C2FE8"/>
    <w:rsid w:val="42436866"/>
    <w:rsid w:val="42BF703F"/>
    <w:rsid w:val="42D34953"/>
    <w:rsid w:val="42EB0458"/>
    <w:rsid w:val="42FF3094"/>
    <w:rsid w:val="431C567C"/>
    <w:rsid w:val="43713BB4"/>
    <w:rsid w:val="43873B5A"/>
    <w:rsid w:val="439E7EFB"/>
    <w:rsid w:val="43EC5A58"/>
    <w:rsid w:val="43F4090A"/>
    <w:rsid w:val="43FC6E17"/>
    <w:rsid w:val="4402759C"/>
    <w:rsid w:val="44366034"/>
    <w:rsid w:val="44605A3B"/>
    <w:rsid w:val="44884C45"/>
    <w:rsid w:val="44CD1324"/>
    <w:rsid w:val="44E32791"/>
    <w:rsid w:val="44FD09E4"/>
    <w:rsid w:val="454F78C2"/>
    <w:rsid w:val="457118DE"/>
    <w:rsid w:val="457177BE"/>
    <w:rsid w:val="458A7AA7"/>
    <w:rsid w:val="45C53F49"/>
    <w:rsid w:val="46135147"/>
    <w:rsid w:val="463333B8"/>
    <w:rsid w:val="464810C2"/>
    <w:rsid w:val="46737A24"/>
    <w:rsid w:val="468A3DC6"/>
    <w:rsid w:val="469559DB"/>
    <w:rsid w:val="46CC00B3"/>
    <w:rsid w:val="46E10058"/>
    <w:rsid w:val="46EB2B66"/>
    <w:rsid w:val="46F14899"/>
    <w:rsid w:val="46FC650F"/>
    <w:rsid w:val="47091BE0"/>
    <w:rsid w:val="47105260"/>
    <w:rsid w:val="47677367"/>
    <w:rsid w:val="478E1476"/>
    <w:rsid w:val="47997807"/>
    <w:rsid w:val="47D02EBD"/>
    <w:rsid w:val="47E84D3E"/>
    <w:rsid w:val="483B4FF4"/>
    <w:rsid w:val="48694623"/>
    <w:rsid w:val="48BE1B68"/>
    <w:rsid w:val="4A0F498D"/>
    <w:rsid w:val="4A89695D"/>
    <w:rsid w:val="4A9216E3"/>
    <w:rsid w:val="4AE22767"/>
    <w:rsid w:val="4AE74670"/>
    <w:rsid w:val="4AE820F1"/>
    <w:rsid w:val="4B197C03"/>
    <w:rsid w:val="4B35476F"/>
    <w:rsid w:val="4B3621F1"/>
    <w:rsid w:val="4B6A71C8"/>
    <w:rsid w:val="4B6D014C"/>
    <w:rsid w:val="4BAB7C31"/>
    <w:rsid w:val="4BEA4569"/>
    <w:rsid w:val="4C793E7E"/>
    <w:rsid w:val="4C800514"/>
    <w:rsid w:val="4C982571"/>
    <w:rsid w:val="4CAF1A5D"/>
    <w:rsid w:val="4CBD4B7C"/>
    <w:rsid w:val="4CF15D4A"/>
    <w:rsid w:val="4D824D71"/>
    <w:rsid w:val="4DB438B3"/>
    <w:rsid w:val="4DFC3C7E"/>
    <w:rsid w:val="4E005F07"/>
    <w:rsid w:val="4E083EE2"/>
    <w:rsid w:val="4E4C0585"/>
    <w:rsid w:val="4E4F3296"/>
    <w:rsid w:val="4EA25710"/>
    <w:rsid w:val="4EB95335"/>
    <w:rsid w:val="4F30407B"/>
    <w:rsid w:val="4F506B2E"/>
    <w:rsid w:val="4F8872D9"/>
    <w:rsid w:val="4FAE10C6"/>
    <w:rsid w:val="4FF31BBA"/>
    <w:rsid w:val="4FFF7BCB"/>
    <w:rsid w:val="50033ABD"/>
    <w:rsid w:val="50147B70"/>
    <w:rsid w:val="502973DD"/>
    <w:rsid w:val="50451FA8"/>
    <w:rsid w:val="50CC3A9C"/>
    <w:rsid w:val="50D55102"/>
    <w:rsid w:val="50FD207B"/>
    <w:rsid w:val="51380BCD"/>
    <w:rsid w:val="516F6B28"/>
    <w:rsid w:val="517777B8"/>
    <w:rsid w:val="51A40DC7"/>
    <w:rsid w:val="51C97F95"/>
    <w:rsid w:val="51D058C8"/>
    <w:rsid w:val="51FD013E"/>
    <w:rsid w:val="52073823"/>
    <w:rsid w:val="52077FA0"/>
    <w:rsid w:val="52092FE8"/>
    <w:rsid w:val="520937E3"/>
    <w:rsid w:val="521C7F46"/>
    <w:rsid w:val="525E09AF"/>
    <w:rsid w:val="526347E4"/>
    <w:rsid w:val="52C60AC2"/>
    <w:rsid w:val="52D95EA9"/>
    <w:rsid w:val="531A57E9"/>
    <w:rsid w:val="532D7D83"/>
    <w:rsid w:val="534244A5"/>
    <w:rsid w:val="537B28C1"/>
    <w:rsid w:val="5388734C"/>
    <w:rsid w:val="53BA2E6A"/>
    <w:rsid w:val="54267F9B"/>
    <w:rsid w:val="54363A4A"/>
    <w:rsid w:val="54471B54"/>
    <w:rsid w:val="54664607"/>
    <w:rsid w:val="54722618"/>
    <w:rsid w:val="547F0019"/>
    <w:rsid w:val="5496290F"/>
    <w:rsid w:val="54B965D1"/>
    <w:rsid w:val="551556A5"/>
    <w:rsid w:val="55203A36"/>
    <w:rsid w:val="554828D4"/>
    <w:rsid w:val="561A74D1"/>
    <w:rsid w:val="56790F85"/>
    <w:rsid w:val="56E13FF2"/>
    <w:rsid w:val="573E3DB0"/>
    <w:rsid w:val="5773785B"/>
    <w:rsid w:val="5796443F"/>
    <w:rsid w:val="57A027D0"/>
    <w:rsid w:val="57E16E3D"/>
    <w:rsid w:val="57EE08CB"/>
    <w:rsid w:val="58283E0A"/>
    <w:rsid w:val="584E3BED"/>
    <w:rsid w:val="5863030F"/>
    <w:rsid w:val="59227449"/>
    <w:rsid w:val="59277109"/>
    <w:rsid w:val="5946363B"/>
    <w:rsid w:val="59540D29"/>
    <w:rsid w:val="598900F2"/>
    <w:rsid w:val="5994724E"/>
    <w:rsid w:val="59B447B9"/>
    <w:rsid w:val="59BE2B4A"/>
    <w:rsid w:val="5AD90D18"/>
    <w:rsid w:val="5AEF0CBE"/>
    <w:rsid w:val="5B02441B"/>
    <w:rsid w:val="5B0F6FF4"/>
    <w:rsid w:val="5B705D94"/>
    <w:rsid w:val="5B81022D"/>
    <w:rsid w:val="5B913D4A"/>
    <w:rsid w:val="5BA7046C"/>
    <w:rsid w:val="5BDC2EC5"/>
    <w:rsid w:val="5C1F6E31"/>
    <w:rsid w:val="5C3F5168"/>
    <w:rsid w:val="5C777619"/>
    <w:rsid w:val="5CB96F3D"/>
    <w:rsid w:val="5CCB4C52"/>
    <w:rsid w:val="5CCC024F"/>
    <w:rsid w:val="5DB3776D"/>
    <w:rsid w:val="5DE6679D"/>
    <w:rsid w:val="5DE82080"/>
    <w:rsid w:val="5DF04B2E"/>
    <w:rsid w:val="5E3F3C4E"/>
    <w:rsid w:val="5E4A131D"/>
    <w:rsid w:val="5E6A62F3"/>
    <w:rsid w:val="5E79378D"/>
    <w:rsid w:val="5EB558FD"/>
    <w:rsid w:val="5F0E71A2"/>
    <w:rsid w:val="5F403659"/>
    <w:rsid w:val="5F58537A"/>
    <w:rsid w:val="5F8E7A52"/>
    <w:rsid w:val="5FC0727B"/>
    <w:rsid w:val="60213AAB"/>
    <w:rsid w:val="60283D53"/>
    <w:rsid w:val="606A01C8"/>
    <w:rsid w:val="609E5E38"/>
    <w:rsid w:val="60ED2B92"/>
    <w:rsid w:val="60FE69AF"/>
    <w:rsid w:val="61351088"/>
    <w:rsid w:val="61402C9C"/>
    <w:rsid w:val="617556F4"/>
    <w:rsid w:val="618738F6"/>
    <w:rsid w:val="619D21E2"/>
    <w:rsid w:val="62D27BAF"/>
    <w:rsid w:val="62FA76A8"/>
    <w:rsid w:val="63284D3B"/>
    <w:rsid w:val="6379767B"/>
    <w:rsid w:val="63C11A36"/>
    <w:rsid w:val="63F87992"/>
    <w:rsid w:val="642207D6"/>
    <w:rsid w:val="644E4B1D"/>
    <w:rsid w:val="646A4140"/>
    <w:rsid w:val="648E5907"/>
    <w:rsid w:val="649E5E68"/>
    <w:rsid w:val="64E46315"/>
    <w:rsid w:val="65160638"/>
    <w:rsid w:val="65346AC5"/>
    <w:rsid w:val="65397395"/>
    <w:rsid w:val="658A6252"/>
    <w:rsid w:val="659A4B0B"/>
    <w:rsid w:val="65AB707B"/>
    <w:rsid w:val="662752E7"/>
    <w:rsid w:val="664620A8"/>
    <w:rsid w:val="6647485A"/>
    <w:rsid w:val="66763229"/>
    <w:rsid w:val="668A5177"/>
    <w:rsid w:val="66AD1184"/>
    <w:rsid w:val="66CF38B7"/>
    <w:rsid w:val="66F03E31"/>
    <w:rsid w:val="66F1427F"/>
    <w:rsid w:val="671962B5"/>
    <w:rsid w:val="672677D9"/>
    <w:rsid w:val="67650933"/>
    <w:rsid w:val="67937C0E"/>
    <w:rsid w:val="67C5167C"/>
    <w:rsid w:val="67E86ACB"/>
    <w:rsid w:val="67EC408F"/>
    <w:rsid w:val="67F30197"/>
    <w:rsid w:val="6811251E"/>
    <w:rsid w:val="681364CD"/>
    <w:rsid w:val="689606D4"/>
    <w:rsid w:val="68971E77"/>
    <w:rsid w:val="68A04E37"/>
    <w:rsid w:val="68C27771"/>
    <w:rsid w:val="68D73C8C"/>
    <w:rsid w:val="68E1201D"/>
    <w:rsid w:val="69547043"/>
    <w:rsid w:val="696F0988"/>
    <w:rsid w:val="69994D4F"/>
    <w:rsid w:val="69B449F8"/>
    <w:rsid w:val="69DD483F"/>
    <w:rsid w:val="69F875E7"/>
    <w:rsid w:val="6A091263"/>
    <w:rsid w:val="6A0E376F"/>
    <w:rsid w:val="6A1C4324"/>
    <w:rsid w:val="6A6406E1"/>
    <w:rsid w:val="6A680BA0"/>
    <w:rsid w:val="6A917936"/>
    <w:rsid w:val="6AAD3794"/>
    <w:rsid w:val="6ACA1319"/>
    <w:rsid w:val="6B2B7B8F"/>
    <w:rsid w:val="6B872FB1"/>
    <w:rsid w:val="6BBC4926"/>
    <w:rsid w:val="6C48693C"/>
    <w:rsid w:val="6CC20D87"/>
    <w:rsid w:val="6CCF05BB"/>
    <w:rsid w:val="6D9B1CE8"/>
    <w:rsid w:val="6DED51C1"/>
    <w:rsid w:val="6DF53D9E"/>
    <w:rsid w:val="6DF6457C"/>
    <w:rsid w:val="6E127476"/>
    <w:rsid w:val="6E271E42"/>
    <w:rsid w:val="6E6F683C"/>
    <w:rsid w:val="6EAA1F10"/>
    <w:rsid w:val="6EDF7DF5"/>
    <w:rsid w:val="6F1218C9"/>
    <w:rsid w:val="6F297680"/>
    <w:rsid w:val="6F424302"/>
    <w:rsid w:val="6F43185D"/>
    <w:rsid w:val="6F493C62"/>
    <w:rsid w:val="6FAA2D41"/>
    <w:rsid w:val="6FAB29C1"/>
    <w:rsid w:val="6FCB0CF7"/>
    <w:rsid w:val="6FE10C9C"/>
    <w:rsid w:val="6FE917F8"/>
    <w:rsid w:val="6FF44542"/>
    <w:rsid w:val="6FF653BE"/>
    <w:rsid w:val="700C1760"/>
    <w:rsid w:val="70B01466"/>
    <w:rsid w:val="70B42BBA"/>
    <w:rsid w:val="70F43D1C"/>
    <w:rsid w:val="713B7C54"/>
    <w:rsid w:val="71615295"/>
    <w:rsid w:val="7181471A"/>
    <w:rsid w:val="71B46619"/>
    <w:rsid w:val="71C92D3B"/>
    <w:rsid w:val="71D4494F"/>
    <w:rsid w:val="721553B9"/>
    <w:rsid w:val="722A19E0"/>
    <w:rsid w:val="722A1ADB"/>
    <w:rsid w:val="72450174"/>
    <w:rsid w:val="72740C55"/>
    <w:rsid w:val="73020054"/>
    <w:rsid w:val="73DD49A4"/>
    <w:rsid w:val="7408106C"/>
    <w:rsid w:val="741D578E"/>
    <w:rsid w:val="74236A0F"/>
    <w:rsid w:val="749D14E4"/>
    <w:rsid w:val="74F72EF3"/>
    <w:rsid w:val="75B50E6C"/>
    <w:rsid w:val="76422F1C"/>
    <w:rsid w:val="7643180D"/>
    <w:rsid w:val="768A78C5"/>
    <w:rsid w:val="76B23D4C"/>
    <w:rsid w:val="77073AD9"/>
    <w:rsid w:val="773576C6"/>
    <w:rsid w:val="774B5945"/>
    <w:rsid w:val="776D5CCF"/>
    <w:rsid w:val="77A2016B"/>
    <w:rsid w:val="77A45FD4"/>
    <w:rsid w:val="77C4430A"/>
    <w:rsid w:val="78667397"/>
    <w:rsid w:val="78B80F35"/>
    <w:rsid w:val="78D05B2B"/>
    <w:rsid w:val="78D20C44"/>
    <w:rsid w:val="78FB521C"/>
    <w:rsid w:val="78FE2D8D"/>
    <w:rsid w:val="78FF080F"/>
    <w:rsid w:val="792C6CB9"/>
    <w:rsid w:val="79645FB5"/>
    <w:rsid w:val="798058E5"/>
    <w:rsid w:val="798B08DC"/>
    <w:rsid w:val="79B55DCB"/>
    <w:rsid w:val="79C1634F"/>
    <w:rsid w:val="79E14685"/>
    <w:rsid w:val="79E34305"/>
    <w:rsid w:val="79EF1501"/>
    <w:rsid w:val="7A186D5D"/>
    <w:rsid w:val="7A2B7013"/>
    <w:rsid w:val="7A5610E0"/>
    <w:rsid w:val="7A8E141E"/>
    <w:rsid w:val="7AA51E44"/>
    <w:rsid w:val="7B2D7898"/>
    <w:rsid w:val="7B6530B0"/>
    <w:rsid w:val="7B9F58E0"/>
    <w:rsid w:val="7BAB1E76"/>
    <w:rsid w:val="7BAC4124"/>
    <w:rsid w:val="7BE47D36"/>
    <w:rsid w:val="7BEB46DA"/>
    <w:rsid w:val="7BEB7F5D"/>
    <w:rsid w:val="7C044924"/>
    <w:rsid w:val="7C462049"/>
    <w:rsid w:val="7C6C5F2D"/>
    <w:rsid w:val="7CC51E3F"/>
    <w:rsid w:val="7D472FDE"/>
    <w:rsid w:val="7D9423D6"/>
    <w:rsid w:val="7DA42BB1"/>
    <w:rsid w:val="7DD9020A"/>
    <w:rsid w:val="7DDE3C10"/>
    <w:rsid w:val="7DFE66C3"/>
    <w:rsid w:val="7E3647B6"/>
    <w:rsid w:val="7E4F58BF"/>
    <w:rsid w:val="7E6B3474"/>
    <w:rsid w:val="7E817576"/>
    <w:rsid w:val="7EC37706"/>
    <w:rsid w:val="7EF902BD"/>
    <w:rsid w:val="7F24358D"/>
    <w:rsid w:val="7F4B07C1"/>
    <w:rsid w:val="7F5053DE"/>
    <w:rsid w:val="7F656F0F"/>
    <w:rsid w:val="7F6F781F"/>
    <w:rsid w:val="7F764C60"/>
    <w:rsid w:val="7F9035D7"/>
    <w:rsid w:val="7FE83C65"/>
    <w:rsid w:val="7FF35C49"/>
    <w:rsid w:val="7FFF7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qFormat="1" w:unhideWhenUsed="0" w:uiPriority="99"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qFormat="1" w:uiPriority="99" w:semiHidden="0" w:name="footnote reference"/>
    <w:lsdException w:qFormat="1" w:uiPriority="99" w:semiHidden="0" w:name="annotation reference"/>
    <w:lsdException w:uiPriority="0" w:name="line number"/>
    <w:lsdException w:qFormat="1"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iPriority="99"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unhideWhenUsed/>
    <w:qFormat/>
    <w:uiPriority w:val="1"/>
  </w:style>
  <w:style w:type="table" w:default="1" w:styleId="18">
    <w:name w:val="Normal Table"/>
    <w:unhideWhenUsed/>
    <w:uiPriority w:val="99"/>
    <w:tblPr>
      <w:tblLayout w:type="fixed"/>
      <w:tblCellMar>
        <w:top w:w="0" w:type="dxa"/>
        <w:left w:w="108" w:type="dxa"/>
        <w:bottom w:w="0" w:type="dxa"/>
        <w:right w:w="108" w:type="dxa"/>
      </w:tblCellMar>
    </w:tblPr>
  </w:style>
  <w:style w:type="paragraph" w:customStyle="1" w:styleId="2">
    <w:name w:val="BodyText"/>
    <w:basedOn w:val="1"/>
    <w:qFormat/>
    <w:uiPriority w:val="99"/>
    <w:pPr>
      <w:spacing w:after="120"/>
      <w:textAlignment w:val="baseline"/>
    </w:pPr>
  </w:style>
  <w:style w:type="paragraph" w:styleId="3">
    <w:name w:val="annotation subject"/>
    <w:basedOn w:val="4"/>
    <w:next w:val="4"/>
    <w:link w:val="25"/>
    <w:unhideWhenUsed/>
    <w:qFormat/>
    <w:uiPriority w:val="99"/>
    <w:rPr>
      <w:b/>
      <w:bCs/>
    </w:rPr>
  </w:style>
  <w:style w:type="paragraph" w:styleId="4">
    <w:name w:val="annotation text"/>
    <w:basedOn w:val="1"/>
    <w:link w:val="24"/>
    <w:unhideWhenUsed/>
    <w:qFormat/>
    <w:uiPriority w:val="99"/>
    <w:pPr>
      <w:jc w:val="left"/>
    </w:pPr>
  </w:style>
  <w:style w:type="paragraph" w:styleId="5">
    <w:name w:val="Body Text"/>
    <w:basedOn w:val="1"/>
    <w:unhideWhenUsed/>
    <w:qFormat/>
    <w:uiPriority w:val="99"/>
    <w:pPr>
      <w:spacing w:after="120"/>
    </w:pPr>
    <w:rPr>
      <w:rFonts w:ascii="宋体" w:hAnsi="宋体" w:cs="Calibri"/>
      <w:szCs w:val="21"/>
    </w:rPr>
  </w:style>
  <w:style w:type="paragraph" w:styleId="6">
    <w:name w:val="Plain Text"/>
    <w:basedOn w:val="1"/>
    <w:link w:val="22"/>
    <w:unhideWhenUsed/>
    <w:qFormat/>
    <w:uiPriority w:val="99"/>
    <w:rPr>
      <w:rFonts w:ascii="宋体" w:hAnsi="Courier New" w:cs="Courier New"/>
      <w:szCs w:val="21"/>
    </w:rPr>
  </w:style>
  <w:style w:type="paragraph" w:styleId="7">
    <w:name w:val="Balloon Text"/>
    <w:basedOn w:val="1"/>
    <w:link w:val="26"/>
    <w:unhideWhenUsed/>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footnote text"/>
    <w:basedOn w:val="1"/>
    <w:link w:val="21"/>
    <w:qFormat/>
    <w:uiPriority w:val="99"/>
    <w:pPr>
      <w:snapToGrid w:val="0"/>
      <w:jc w:val="left"/>
    </w:pPr>
    <w:rPr>
      <w:sz w:val="18"/>
    </w:rPr>
  </w:style>
  <w:style w:type="paragraph" w:styleId="11">
    <w:name w:val="Normal (Web)"/>
    <w:basedOn w:val="1"/>
    <w:unhideWhenUsed/>
    <w:qFormat/>
    <w:uiPriority w:val="99"/>
    <w:rPr>
      <w:sz w:val="24"/>
    </w:rPr>
  </w:style>
  <w:style w:type="character" w:styleId="13">
    <w:name w:val="Strong"/>
    <w:qFormat/>
    <w:uiPriority w:val="22"/>
    <w:rPr>
      <w:b/>
    </w:rPr>
  </w:style>
  <w:style w:type="character" w:styleId="14">
    <w:name w:val="page number"/>
    <w:basedOn w:val="12"/>
    <w:unhideWhenUsed/>
    <w:qFormat/>
    <w:uiPriority w:val="99"/>
  </w:style>
  <w:style w:type="character" w:styleId="15">
    <w:name w:val="Emphasis"/>
    <w:qFormat/>
    <w:uiPriority w:val="20"/>
    <w:rPr>
      <w:i/>
    </w:rPr>
  </w:style>
  <w:style w:type="character" w:styleId="16">
    <w:name w:val="annotation reference"/>
    <w:basedOn w:val="12"/>
    <w:unhideWhenUsed/>
    <w:qFormat/>
    <w:uiPriority w:val="99"/>
    <w:rPr>
      <w:sz w:val="21"/>
      <w:szCs w:val="21"/>
    </w:rPr>
  </w:style>
  <w:style w:type="character" w:styleId="17">
    <w:name w:val="footnote reference"/>
    <w:basedOn w:val="12"/>
    <w:unhideWhenUsed/>
    <w:qFormat/>
    <w:uiPriority w:val="99"/>
    <w:rPr>
      <w:vertAlign w:val="superscript"/>
    </w:rPr>
  </w:style>
  <w:style w:type="paragraph" w:customStyle="1" w:styleId="19">
    <w:name w:val="UserStyle_2"/>
    <w:basedOn w:val="1"/>
    <w:link w:val="20"/>
    <w:qFormat/>
    <w:uiPriority w:val="0"/>
    <w:pPr>
      <w:textAlignment w:val="baseline"/>
    </w:pPr>
    <w:rPr>
      <w:rFonts w:ascii="宋体" w:hAnsi="宋体"/>
      <w:sz w:val="32"/>
      <w:szCs w:val="32"/>
    </w:rPr>
  </w:style>
  <w:style w:type="character" w:customStyle="1" w:styleId="20">
    <w:name w:val="NormalCharacter"/>
    <w:link w:val="19"/>
    <w:qFormat/>
    <w:uiPriority w:val="0"/>
    <w:rPr>
      <w:rFonts w:ascii="宋体" w:hAnsi="宋体"/>
      <w:sz w:val="32"/>
      <w:szCs w:val="32"/>
    </w:rPr>
  </w:style>
  <w:style w:type="character" w:customStyle="1" w:styleId="21">
    <w:name w:val="脚注文本 字符"/>
    <w:link w:val="10"/>
    <w:qFormat/>
    <w:uiPriority w:val="99"/>
    <w:rPr>
      <w:kern w:val="2"/>
      <w:sz w:val="18"/>
      <w:szCs w:val="24"/>
    </w:rPr>
  </w:style>
  <w:style w:type="character" w:customStyle="1" w:styleId="22">
    <w:name w:val="纯文本 字符"/>
    <w:link w:val="6"/>
    <w:qFormat/>
    <w:uiPriority w:val="99"/>
    <w:rPr>
      <w:rFonts w:ascii="宋体" w:hAnsi="Courier New" w:cs="Courier New"/>
      <w:kern w:val="2"/>
      <w:sz w:val="21"/>
      <w:szCs w:val="21"/>
    </w:rPr>
  </w:style>
  <w:style w:type="character" w:customStyle="1" w:styleId="23">
    <w:name w:val="页脚 字符"/>
    <w:basedOn w:val="12"/>
    <w:link w:val="8"/>
    <w:qFormat/>
    <w:uiPriority w:val="99"/>
    <w:rPr>
      <w:kern w:val="2"/>
      <w:sz w:val="18"/>
      <w:szCs w:val="24"/>
    </w:rPr>
  </w:style>
  <w:style w:type="character" w:customStyle="1" w:styleId="24">
    <w:name w:val="批注文字 字符"/>
    <w:basedOn w:val="12"/>
    <w:link w:val="4"/>
    <w:qFormat/>
    <w:uiPriority w:val="99"/>
    <w:rPr>
      <w:kern w:val="2"/>
      <w:sz w:val="21"/>
      <w:szCs w:val="24"/>
    </w:rPr>
  </w:style>
  <w:style w:type="character" w:customStyle="1" w:styleId="25">
    <w:name w:val="批注主题 字符"/>
    <w:basedOn w:val="24"/>
    <w:link w:val="3"/>
    <w:semiHidden/>
    <w:qFormat/>
    <w:uiPriority w:val="99"/>
    <w:rPr>
      <w:b/>
      <w:bCs/>
      <w:kern w:val="2"/>
      <w:sz w:val="21"/>
      <w:szCs w:val="24"/>
    </w:rPr>
  </w:style>
  <w:style w:type="character" w:customStyle="1" w:styleId="26">
    <w:name w:val="批注框文本 字符"/>
    <w:basedOn w:val="12"/>
    <w:link w:val="7"/>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3034</Words>
  <Characters>3127</Characters>
  <Lines>125</Lines>
  <Paragraphs>48</Paragraphs>
  <ScaleCrop>false</ScaleCrop>
  <LinksUpToDate>false</LinksUpToDate>
  <CharactersWithSpaces>6113</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2022-04-17T01:43:00Z</dcterms:created>
  <dc:creator>石蕾</dc:creator>
  <cp:lastModifiedBy>郭颖辉</cp:lastModifiedBy>
  <cp:lastPrinted>2022-04-19T03:10:30Z</cp:lastPrinted>
  <dcterms:modified xsi:type="dcterms:W3CDTF">2022-04-19T10:43:03Z</dcterms:modified>
  <dc:title>创建工作报告。开展创建的地区对照创建标准和指标，认真梳理和归纳总结开展创建以来的工作进展，形成工作报告，字数不超过6000字。报告内容应包括：1.创建目标、思路与举措；2.创建成效、特色与经验；3.创建工作中存在的问题；4.下一步创建工作的思路与举措。</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y fmtid="{D5CDD505-2E9C-101B-9397-08002B2CF9AE}" pid="3" name="ICV">
    <vt:lpwstr>1F2389454E61441181DDFB9E2DA2678C</vt:lpwstr>
  </property>
</Properties>
</file>