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99" w:leftChars="-95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北京市第十六届运动会滑板表演赛</w:t>
      </w:r>
    </w:p>
    <w:p>
      <w:pPr>
        <w:spacing w:line="560" w:lineRule="exact"/>
        <w:ind w:left="-199" w:leftChars="-95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竞赛规程</w:t>
      </w:r>
    </w:p>
    <w:p>
      <w:pPr>
        <w:spacing w:line="560" w:lineRule="exact"/>
        <w:rPr>
          <w:rFonts w:ascii="仿宋" w:hAnsi="仿宋" w:eastAsia="仿宋" w:cs="Times New Roman"/>
          <w:b/>
          <w:bCs/>
        </w:rPr>
      </w:pPr>
    </w:p>
    <w:p>
      <w:pPr>
        <w:spacing w:line="560" w:lineRule="exact"/>
        <w:ind w:firstLine="640" w:firstLineChars="200"/>
        <w:rPr>
          <w:rFonts w:ascii="黑体" w:hAnsi="仿宋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</w:t>
      </w:r>
      <w:r>
        <w:rPr>
          <w:rFonts w:hint="eastAsia" w:ascii="黑体" w:hAnsi="仿宋" w:eastAsia="黑体" w:cs="黑体"/>
          <w:color w:val="000000"/>
          <w:sz w:val="32"/>
          <w:szCs w:val="32"/>
        </w:rPr>
        <w:t>、</w:t>
      </w:r>
      <w:r>
        <w:rPr>
          <w:rFonts w:hint="eastAsia" w:ascii="黑体" w:hAnsi="仿宋" w:eastAsia="黑体" w:cs="黑体"/>
          <w:sz w:val="32"/>
          <w:szCs w:val="32"/>
        </w:rPr>
        <w:t>时间和地点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9月</w:t>
      </w:r>
      <w:r>
        <w:rPr>
          <w:rFonts w:ascii="仿宋_GB2312" w:hAnsi="仿宋" w:eastAsia="仿宋_GB2312" w:cs="仿宋_GB2312"/>
          <w:sz w:val="32"/>
          <w:szCs w:val="32"/>
        </w:rPr>
        <w:t>25</w:t>
      </w:r>
      <w:r>
        <w:rPr>
          <w:rFonts w:hint="eastAsia" w:ascii="仿宋_GB2312" w:hAnsi="仿宋" w:eastAsia="仿宋_GB2312" w:cs="仿宋_GB2312"/>
          <w:sz w:val="32"/>
          <w:szCs w:val="32"/>
        </w:rPr>
        <w:t>日在首钢极限公园举行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二、竞赛组别及项目</w:t>
      </w:r>
    </w:p>
    <w:p>
      <w:pPr>
        <w:spacing w:line="560" w:lineRule="exact"/>
        <w:rPr>
          <w:rFonts w:ascii="楷体_GB2312" w:hAnsi="楷体_GB2312" w:eastAsia="楷体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楷体_GB2312" w:hAnsi="楷体_GB2312" w:eastAsia="楷体_GB2312" w:cs="仿宋_GB2312"/>
          <w:sz w:val="32"/>
          <w:szCs w:val="32"/>
        </w:rPr>
        <w:t>（一）竞赛组别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男子组8-16岁</w:t>
      </w:r>
      <w:r>
        <w:rPr>
          <w:rFonts w:hint="eastAsia" w:ascii="仿宋_GB2312" w:hAnsi="仿宋" w:eastAsia="仿宋_GB2312" w:cs="仿宋_GB2312"/>
          <w:color w:val="000000"/>
          <w:w w:val="90"/>
          <w:sz w:val="32"/>
          <w:szCs w:val="32"/>
        </w:rPr>
        <w:t>（2006年1月1日-2014年12月31出生）</w:t>
      </w:r>
    </w:p>
    <w:p>
      <w:pPr>
        <w:spacing w:line="560" w:lineRule="exact"/>
        <w:ind w:left="315" w:leftChars="150" w:firstLine="320" w:firstLineChars="100"/>
        <w:rPr>
          <w:rFonts w:ascii="仿宋_GB2312" w:hAnsi="仿宋" w:eastAsia="仿宋_GB2312" w:cs="仿宋_GB2312"/>
          <w:color w:val="000000"/>
          <w:w w:val="9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女子组8-16岁</w:t>
      </w:r>
      <w:r>
        <w:rPr>
          <w:rFonts w:hint="eastAsia" w:ascii="仿宋_GB2312" w:hAnsi="仿宋" w:eastAsia="仿宋_GB2312" w:cs="仿宋_GB2312"/>
          <w:color w:val="000000"/>
          <w:w w:val="90"/>
          <w:sz w:val="32"/>
          <w:szCs w:val="32"/>
        </w:rPr>
        <w:t>（2006年1月1日-2014年12月31出生）</w:t>
      </w:r>
    </w:p>
    <w:p>
      <w:pPr>
        <w:spacing w:line="560" w:lineRule="exact"/>
        <w:ind w:left="315" w:leftChars="150" w:firstLine="160" w:firstLineChars="50"/>
        <w:rPr>
          <w:rFonts w:ascii="仿宋_GB2312" w:hAnsi="仿宋" w:eastAsia="仿宋_GB2312" w:cs="仿宋_GB2312"/>
          <w:color w:val="000000"/>
          <w:w w:val="90"/>
          <w:sz w:val="32"/>
          <w:szCs w:val="32"/>
        </w:rPr>
      </w:pPr>
      <w:r>
        <w:rPr>
          <w:rFonts w:hint="eastAsia" w:ascii="楷体_GB2312" w:hAnsi="楷体_GB2312" w:eastAsia="楷体_GB2312" w:cs="仿宋_GB2312"/>
          <w:sz w:val="32"/>
          <w:szCs w:val="32"/>
        </w:rPr>
        <w:t>（二）竞赛项目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sz w:val="32"/>
          <w:szCs w:val="32"/>
        </w:rPr>
        <w:t>男子街式、男子碗池、女子街式、女子碗池</w:t>
      </w:r>
    </w:p>
    <w:p>
      <w:pPr>
        <w:spacing w:line="560" w:lineRule="exact"/>
        <w:ind w:firstLine="640" w:firstLineChars="200"/>
        <w:rPr>
          <w:rFonts w:ascii="黑体" w:hAnsi="Times New Roman" w:eastAsia="黑体" w:cs="仿宋_GB2312"/>
          <w:color w:val="000000"/>
          <w:sz w:val="32"/>
          <w:szCs w:val="32"/>
        </w:rPr>
      </w:pPr>
      <w:r>
        <w:rPr>
          <w:rFonts w:hint="eastAsia" w:ascii="黑体" w:hAnsi="Times New Roman" w:eastAsia="黑体" w:cs="仿宋_GB2312"/>
          <w:color w:val="000000"/>
          <w:sz w:val="32"/>
          <w:szCs w:val="32"/>
        </w:rPr>
        <w:t>三、运动员资格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（一）中华人民共和国公民。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（二）</w:t>
      </w:r>
      <w:r>
        <w:rPr>
          <w:rFonts w:hint="eastAsia" w:ascii="仿宋_GB2312" w:eastAsia="仿宋_GB2312"/>
          <w:sz w:val="32"/>
          <w:szCs w:val="32"/>
        </w:rPr>
        <w:t>北京市户籍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北京市集体户籍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非北京户籍，在北京市就读并完成北京市学籍登记。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四、参加办法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（一）本赛事报名由各区体育主管部门组织报名。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ascii="仿宋_GB2312" w:hAnsi="仿宋" w:eastAsia="仿宋_GB2312" w:cs="黑体"/>
          <w:color w:val="000000"/>
          <w:sz w:val="32"/>
          <w:szCs w:val="32"/>
        </w:rPr>
        <w:t>（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二</w:t>
      </w:r>
      <w:r>
        <w:rPr>
          <w:rFonts w:ascii="仿宋_GB2312" w:hAnsi="仿宋" w:eastAsia="仿宋_GB2312" w:cs="黑体"/>
          <w:color w:val="000000"/>
          <w:sz w:val="32"/>
          <w:szCs w:val="32"/>
        </w:rPr>
        <w:t>）</w:t>
      </w:r>
      <w:r>
        <w:rPr>
          <w:rFonts w:hint="eastAsia" w:ascii="仿宋_GB2312" w:hAnsi="仿宋" w:eastAsia="仿宋_GB2312" w:cs="仿宋_GB2312"/>
          <w:sz w:val="32"/>
          <w:szCs w:val="32"/>
        </w:rPr>
        <w:t>经二级以上医院检查证明身体健康，有经常性参加滑板训练的基础。</w:t>
      </w:r>
      <w:r>
        <w:rPr>
          <w:rFonts w:ascii="仿宋_GB2312" w:hAnsi="仿宋" w:eastAsia="仿宋_GB2312" w:cs="黑体"/>
          <w:color w:val="000000"/>
          <w:sz w:val="32"/>
          <w:szCs w:val="32"/>
        </w:rPr>
        <w:t>参赛者可根据自己的身体状况和能力，选择参赛项目。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选手在参赛过程中一旦感觉身体不适，应立即中止比赛，请求工作人员帮助。以下疾病患者不宜参加比赛，否则由此产生的一切后果自负：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1．先天性心脏病和风湿性心脏病患者；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2．高血压和脑血管疾病患者；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3．心肌炎和其它心脏病患者；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4．冠状动脉病患者和严重心律不齐者；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5．血糖过高或过低的糖尿病患者；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6. 其他不适合运动的疾病患者。</w:t>
      </w:r>
    </w:p>
    <w:p>
      <w:pPr>
        <w:spacing w:line="560" w:lineRule="exact"/>
        <w:ind w:firstLine="640" w:firstLineChars="200"/>
        <w:rPr>
          <w:rFonts w:ascii="仿宋_GB2312" w:hAnsi="微软雅黑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（三）各单位可报领队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人，每组教练员2-4人（同1名教练只能代表1个参赛单位报名），医生１人。</w:t>
      </w:r>
      <w:r>
        <w:rPr>
          <w:rFonts w:hint="eastAsia" w:ascii="仿宋_GB2312" w:eastAsia="仿宋_GB2312"/>
          <w:color w:val="000000"/>
          <w:sz w:val="32"/>
          <w:szCs w:val="32"/>
        </w:rPr>
        <w:t>每名运动员只能代表一个单位参赛，</w:t>
      </w:r>
      <w:r>
        <w:rPr>
          <w:rFonts w:hint="eastAsia" w:ascii="仿宋_GB2312" w:hAnsi="仿宋" w:eastAsia="仿宋_GB2312" w:cs="仿宋_GB2312"/>
          <w:sz w:val="32"/>
          <w:szCs w:val="32"/>
        </w:rPr>
        <w:t>运动员不得跨组别参赛，街式项目</w:t>
      </w:r>
      <w:r>
        <w:rPr>
          <w:rFonts w:hint="eastAsia" w:ascii="仿宋_GB2312" w:hAnsi="仿宋" w:eastAsia="仿宋_GB2312" w:cs="黑体"/>
          <w:sz w:val="32"/>
          <w:szCs w:val="32"/>
        </w:rPr>
        <w:t>每单位限报男子运动员、女子运动员各</w:t>
      </w:r>
      <w:r>
        <w:rPr>
          <w:rFonts w:hint="eastAsia" w:ascii="仿宋_GB2312" w:hAnsi="仿宋" w:eastAsia="仿宋_GB2312" w:cs="黑体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黑体"/>
          <w:sz w:val="32"/>
          <w:szCs w:val="32"/>
        </w:rPr>
        <w:t>人，</w:t>
      </w:r>
      <w:r>
        <w:rPr>
          <w:rFonts w:hint="eastAsia" w:ascii="仿宋_GB2312" w:hAnsi="仿宋" w:eastAsia="仿宋_GB2312" w:cs="仿宋_GB2312"/>
          <w:sz w:val="32"/>
          <w:szCs w:val="32"/>
        </w:rPr>
        <w:t>碗池项目</w:t>
      </w:r>
      <w:r>
        <w:rPr>
          <w:rFonts w:hint="eastAsia" w:ascii="仿宋_GB2312" w:hAnsi="仿宋" w:eastAsia="仿宋_GB2312" w:cs="黑体"/>
          <w:sz w:val="32"/>
          <w:szCs w:val="32"/>
        </w:rPr>
        <w:t>每单位限报男子运动员、女子运动员各3人。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五、竞赛办法</w:t>
      </w:r>
      <w:bookmarkStart w:id="0" w:name="_GoBack"/>
      <w:bookmarkEnd w:id="0"/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（一）按照</w:t>
      </w:r>
      <w:r>
        <w:rPr>
          <w:rFonts w:hint="eastAsia" w:ascii="仿宋_GB2312" w:hAnsi="宋体" w:eastAsia="仿宋_GB2312"/>
          <w:sz w:val="32"/>
          <w:szCs w:val="32"/>
        </w:rPr>
        <w:t>W</w:t>
      </w:r>
      <w:r>
        <w:rPr>
          <w:rFonts w:ascii="仿宋_GB2312" w:hAnsi="宋体" w:eastAsia="仿宋_GB2312"/>
          <w:sz w:val="32"/>
          <w:szCs w:val="32"/>
        </w:rPr>
        <w:t>ORLD SKATE</w:t>
      </w:r>
      <w:r>
        <w:rPr>
          <w:rFonts w:hint="eastAsia" w:ascii="仿宋_GB2312" w:hAnsi="宋体" w:eastAsia="仿宋_GB2312"/>
          <w:sz w:val="32"/>
          <w:szCs w:val="32"/>
        </w:rPr>
        <w:t>常规滑板评判标准的规则为赛事依据，评分标准如下：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1. </w:t>
      </w:r>
      <w:r>
        <w:rPr>
          <w:rFonts w:hint="eastAsia" w:ascii="仿宋_GB2312" w:hAnsi="宋体" w:eastAsia="仿宋_GB2312"/>
          <w:sz w:val="32"/>
          <w:szCs w:val="32"/>
        </w:rPr>
        <w:t>完成动作的难度和多样性。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2. </w:t>
      </w:r>
      <w:r>
        <w:rPr>
          <w:rFonts w:hint="eastAsia" w:ascii="仿宋_GB2312" w:hAnsi="宋体" w:eastAsia="仿宋_GB2312"/>
          <w:sz w:val="32"/>
          <w:szCs w:val="32"/>
        </w:rPr>
        <w:t>完成动作的质量。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3. </w:t>
      </w:r>
      <w:r>
        <w:rPr>
          <w:rFonts w:hint="eastAsia" w:ascii="仿宋_GB2312" w:hAnsi="宋体" w:eastAsia="仿宋_GB2312"/>
          <w:sz w:val="32"/>
          <w:szCs w:val="32"/>
        </w:rPr>
        <w:t>场地和单一道具的使用率。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4. </w:t>
      </w:r>
      <w:r>
        <w:rPr>
          <w:rFonts w:hint="eastAsia" w:ascii="仿宋_GB2312" w:hAnsi="宋体" w:eastAsia="仿宋_GB2312"/>
          <w:sz w:val="32"/>
          <w:szCs w:val="32"/>
        </w:rPr>
        <w:t>流畅度和稳定性。</w:t>
      </w:r>
    </w:p>
    <w:p>
      <w:pPr>
        <w:ind w:firstLine="640" w:firstLineChars="200"/>
        <w:rPr>
          <w:rFonts w:ascii="楷体_GB2312" w:hAnsi="宋体" w:eastAsia="楷体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5. </w:t>
      </w:r>
      <w:r>
        <w:rPr>
          <w:rFonts w:hint="eastAsia" w:ascii="仿宋_GB2312" w:hAnsi="宋体" w:eastAsia="仿宋_GB2312"/>
          <w:sz w:val="32"/>
          <w:szCs w:val="32"/>
        </w:rPr>
        <w:t>重复动作。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（二）比赛办法</w:t>
      </w:r>
    </w:p>
    <w:p>
      <w:pPr>
        <w:ind w:firstLine="960" w:firstLineChars="3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</w:t>
      </w:r>
      <w:r>
        <w:rPr>
          <w:rFonts w:hint="eastAsia" w:ascii="仿宋_GB2312" w:hAnsi="仿宋" w:eastAsia="仿宋_GB2312" w:cs="仿宋_GB2312"/>
          <w:sz w:val="32"/>
          <w:szCs w:val="32"/>
        </w:rPr>
        <w:t>街式：</w:t>
      </w:r>
    </w:p>
    <w:p>
      <w:pPr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（1）预赛阶段比两轮, 每轮6</w:t>
      </w:r>
      <w:r>
        <w:rPr>
          <w:rFonts w:ascii="仿宋_GB2312" w:hAnsi="仿宋" w:eastAsia="仿宋_GB2312" w:cs="仿宋_GB2312"/>
          <w:sz w:val="32"/>
          <w:szCs w:val="32"/>
        </w:rPr>
        <w:t>0</w:t>
      </w:r>
      <w:r>
        <w:rPr>
          <w:rFonts w:hint="eastAsia" w:ascii="仿宋_GB2312" w:hAnsi="仿宋" w:eastAsia="仿宋_GB2312" w:cs="仿宋_GB2312"/>
          <w:sz w:val="32"/>
          <w:szCs w:val="32"/>
        </w:rPr>
        <w:t>秒。运动员以号牌顺序1</w:t>
      </w:r>
      <w:r>
        <w:rPr>
          <w:rFonts w:ascii="仿宋_GB2312" w:hAnsi="仿宋" w:eastAsia="仿宋_GB2312" w:cs="仿宋_GB2312"/>
          <w:sz w:val="32"/>
          <w:szCs w:val="32"/>
        </w:rPr>
        <w:t>0</w:t>
      </w:r>
      <w:r>
        <w:rPr>
          <w:rFonts w:hint="eastAsia" w:ascii="仿宋_GB2312" w:hAnsi="仿宋" w:eastAsia="仿宋_GB2312" w:cs="仿宋_GB2312"/>
          <w:sz w:val="32"/>
          <w:szCs w:val="32"/>
        </w:rPr>
        <w:t>人一组出场。以每轮得分的高分轮分数作为最终得分，并据此排定名次。如两人（或两人以上）高分轮得分相同，则根据低分轮的得分排定名次。预赛前十五名进入决赛。</w:t>
      </w:r>
    </w:p>
    <w:p>
      <w:pPr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（2）决赛阶段，每位运动员有7次出场机会，每次出场机会包含2轮轮次赛(每轮45秒)和</w:t>
      </w:r>
      <w:r>
        <w:rPr>
          <w:rFonts w:ascii="仿宋_GB2312" w:hAnsi="仿宋" w:eastAsia="仿宋_GB2312" w:cs="仿宋_GB2312"/>
          <w:sz w:val="32"/>
          <w:szCs w:val="32"/>
        </w:rPr>
        <w:t>5</w:t>
      </w:r>
      <w:r>
        <w:rPr>
          <w:rFonts w:hint="eastAsia" w:ascii="仿宋_GB2312" w:hAnsi="仿宋" w:eastAsia="仿宋_GB2312" w:cs="仿宋_GB2312"/>
          <w:sz w:val="32"/>
          <w:szCs w:val="32"/>
        </w:rPr>
        <w:t>轮大绝招赛。每轮轮次赛为1</w:t>
      </w:r>
      <w:r>
        <w:rPr>
          <w:rFonts w:ascii="仿宋_GB2312" w:hAnsi="仿宋" w:eastAsia="仿宋_GB2312" w:cs="仿宋_GB2312"/>
          <w:sz w:val="32"/>
          <w:szCs w:val="32"/>
        </w:rPr>
        <w:t>0</w:t>
      </w:r>
      <w:r>
        <w:rPr>
          <w:rFonts w:hint="eastAsia" w:ascii="仿宋_GB2312" w:hAnsi="仿宋" w:eastAsia="仿宋_GB2312" w:cs="仿宋_GB2312"/>
          <w:sz w:val="32"/>
          <w:szCs w:val="32"/>
        </w:rPr>
        <w:t>分，每轮大绝招赛为1</w:t>
      </w:r>
      <w:r>
        <w:rPr>
          <w:rFonts w:ascii="仿宋_GB2312" w:hAnsi="仿宋" w:eastAsia="仿宋_GB2312" w:cs="仿宋_GB2312"/>
          <w:sz w:val="32"/>
          <w:szCs w:val="32"/>
        </w:rPr>
        <w:t>0</w:t>
      </w:r>
      <w:r>
        <w:rPr>
          <w:rFonts w:hint="eastAsia" w:ascii="仿宋_GB2312" w:hAnsi="仿宋" w:eastAsia="仿宋_GB2312" w:cs="仿宋_GB2312"/>
          <w:sz w:val="32"/>
          <w:szCs w:val="32"/>
        </w:rPr>
        <w:t>分，满分7</w:t>
      </w:r>
      <w:r>
        <w:rPr>
          <w:rFonts w:ascii="仿宋_GB2312" w:hAnsi="仿宋" w:eastAsia="仿宋_GB2312" w:cs="仿宋_GB2312"/>
          <w:sz w:val="32"/>
          <w:szCs w:val="32"/>
        </w:rPr>
        <w:t>0</w:t>
      </w:r>
      <w:r>
        <w:rPr>
          <w:rFonts w:hint="eastAsia" w:ascii="仿宋_GB2312" w:hAnsi="仿宋" w:eastAsia="仿宋_GB2312" w:cs="仿宋_GB2312"/>
          <w:sz w:val="32"/>
          <w:szCs w:val="32"/>
        </w:rPr>
        <w:t>分，运动员得分最高的4轮分数的总和为该运动员最终得分。</w:t>
      </w:r>
    </w:p>
    <w:p>
      <w:pPr>
        <w:ind w:firstLine="960" w:firstLineChars="300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.碗池：</w:t>
      </w:r>
    </w:p>
    <w:p>
      <w:pPr>
        <w:ind w:firstLine="640" w:firstLineChars="200"/>
        <w:rPr>
          <w:rFonts w:ascii="仿宋_GB2312" w:hAnsi="仿宋" w:eastAsia="仿宋_GB2312" w:cs="仿宋_GB2312"/>
          <w:sz w:val="32"/>
          <w:szCs w:val="32"/>
          <w:highlight w:val="yellow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（1）预赛阶段比两轮。每轮45秒。运动员以号牌顺序1</w:t>
      </w:r>
      <w:r>
        <w:rPr>
          <w:rFonts w:ascii="仿宋_GB2312" w:hAnsi="仿宋" w:eastAsia="仿宋_GB2312" w:cs="仿宋_GB2312"/>
          <w:sz w:val="32"/>
          <w:szCs w:val="32"/>
        </w:rPr>
        <w:t>0</w:t>
      </w:r>
      <w:r>
        <w:rPr>
          <w:rFonts w:hint="eastAsia" w:ascii="仿宋_GB2312" w:hAnsi="仿宋" w:eastAsia="仿宋_GB2312" w:cs="仿宋_GB2312"/>
          <w:sz w:val="32"/>
          <w:szCs w:val="32"/>
        </w:rPr>
        <w:t>人一组出场。以每轮得分的高分轮分数作为最终得分，并据此排定名次。如两人（或两人以上）高分轮得分相同，则根据低分轮的得分排定名次。预赛前十五名进入决赛。</w:t>
      </w:r>
    </w:p>
    <w:p>
      <w:pPr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2）决赛阶段比三轮，每轮45秒。以每轮得分的高分轮分数作为最终得分。决赛运动员按预赛排名相反的次序出场，以每轮得分的高分轮分数作为最终得分，并据此排定名次。如两人（或两人以上）高分轮得分相同，则根据低分轮的得分排定名次。</w:t>
      </w:r>
    </w:p>
    <w:p>
      <w:pPr>
        <w:widowControl/>
        <w:ind w:left="17" w:leftChars="8" w:firstLine="617" w:firstLineChars="193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（三）报名确认后不得更改，报名不足 3 人时，不进行比赛。</w:t>
      </w:r>
    </w:p>
    <w:p>
      <w:pPr>
        <w:spacing w:line="560" w:lineRule="exact"/>
        <w:ind w:firstLine="640" w:firstLineChars="200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六、报名办法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（一）网络报名：各参赛单位自收到竞赛规程之日起，可在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北京市体育竞赛管理和国际交流中心官方网站 (https://www.bjcac.org.cn)进行网络预报名；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（二）提交材料：各参赛单位于2022年</w:t>
      </w:r>
      <w:r>
        <w:rPr>
          <w:rFonts w:ascii="仿宋_GB2312" w:hAnsi="仿宋" w:eastAsia="仿宋_GB2312" w:cs="仿宋_GB2312"/>
          <w:sz w:val="32"/>
          <w:szCs w:val="32"/>
        </w:rPr>
        <w:t>9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>5</w:t>
      </w:r>
      <w:r>
        <w:rPr>
          <w:rFonts w:hint="eastAsia" w:ascii="仿宋_GB2312" w:hAnsi="仿宋" w:eastAsia="仿宋_GB2312" w:cs="仿宋_GB2312"/>
          <w:sz w:val="32"/>
          <w:szCs w:val="32"/>
        </w:rPr>
        <w:t>日-9月</w:t>
      </w:r>
      <w:r>
        <w:rPr>
          <w:rFonts w:ascii="仿宋_GB2312" w:hAnsi="仿宋" w:eastAsia="仿宋_GB2312" w:cs="仿宋_GB2312"/>
          <w:sz w:val="32"/>
          <w:szCs w:val="32"/>
        </w:rPr>
        <w:t>6</w:t>
      </w:r>
      <w:r>
        <w:rPr>
          <w:rFonts w:hint="eastAsia" w:ascii="仿宋_GB2312" w:hAnsi="仿宋" w:eastAsia="仿宋_GB2312" w:cs="仿宋_GB2312"/>
          <w:sz w:val="32"/>
          <w:szCs w:val="32"/>
        </w:rPr>
        <w:t>日将以下材料送交北京市体育竞赛管理和国际交流中心406室。线下提交材料如下：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1.加盖各区体育局公章报名表一份；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2.领队签字并加盖各区体育局公章参赛承诺书一份；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3.参赛领队、教练员和队医身份证复印件，参赛运动员身份证（户籍卡）和学籍卡复印件；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4.参赛领队、教练员、队医和运动员的保险证明复印件；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5.参赛运动员及监护人签字运动员参赛声明。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6.所有运动员、领队、教练员提供</w:t>
      </w:r>
      <w:r>
        <w:rPr>
          <w:rFonts w:ascii="仿宋_GB2312" w:hAnsi="仿宋" w:eastAsia="仿宋_GB2312" w:cs="仿宋_GB2312"/>
          <w:sz w:val="32"/>
          <w:szCs w:val="32"/>
        </w:rPr>
        <w:t>9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日以后北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京健康宝-本人健康码自查询截图（请各参赛单位将健康宝截图姓名补充完整）；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（三）逾期未报名或未提交材料按不参赛处理，报名后不得更改，不在参赛人员名单内的人员届时不得入场。比赛时运动员须持本人二代身份证原件参赛。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（四）本次比赛不收取报名费。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联系人：赵一峥，联系电话：63159690</w:t>
      </w:r>
    </w:p>
    <w:p>
      <w:pPr>
        <w:spacing w:line="560" w:lineRule="exact"/>
        <w:ind w:firstLine="640" w:firstLineChars="200"/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电子邮箱：</w:t>
      </w:r>
      <w:r>
        <w:fldChar w:fldCharType="begin"/>
      </w:r>
      <w:r>
        <w:instrText xml:space="preserve"> HYPERLINK "mailto:li.yuan@tyj.beijing.gov.cn" </w:instrText>
      </w:r>
      <w:r>
        <w:fldChar w:fldCharType="separate"/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zhaoyizheng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@tyj.beijing.gov.cn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fldChar w:fldCharType="end"/>
      </w:r>
    </w:p>
    <w:p>
      <w:pPr>
        <w:spacing w:line="560" w:lineRule="exact"/>
        <w:ind w:firstLine="640" w:firstLineChars="200"/>
        <w:rPr>
          <w:rFonts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七、录取名次和奖励办法</w:t>
      </w:r>
    </w:p>
    <w:p>
      <w:pPr>
        <w:spacing w:line="540" w:lineRule="exact"/>
        <w:ind w:firstLine="627" w:firstLineChars="196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（一）按照</w:t>
      </w:r>
      <w:r>
        <w:rPr>
          <w:rFonts w:hint="eastAsia" w:ascii="仿宋_GB2312" w:hAnsi="仿宋" w:eastAsia="仿宋_GB2312" w:cs="仿宋_GB2312"/>
          <w:sz w:val="32"/>
          <w:szCs w:val="32"/>
        </w:rPr>
        <w:t>《北京市第十六届运动会青少年竞技组竞赛规程总则》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执行。</w:t>
      </w:r>
    </w:p>
    <w:p>
      <w:pPr>
        <w:spacing w:line="540" w:lineRule="exact"/>
        <w:ind w:right="-63" w:rightChars="-30" w:firstLine="627" w:firstLineChars="196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（二）录取名次按照实际到场检录人数为准，比赛各项目</w:t>
      </w:r>
      <w:r>
        <w:rPr>
          <w:rFonts w:hint="eastAsia" w:ascii="仿宋_GB2312" w:hAnsi="仿宋" w:eastAsia="仿宋_GB2312" w:cs="仿宋_GB2312"/>
          <w:sz w:val="32"/>
          <w:szCs w:val="32"/>
        </w:rPr>
        <w:t>组别录取前八名</w:t>
      </w:r>
      <w:r>
        <w:rPr>
          <w:rFonts w:hint="eastAsia" w:ascii="仿宋_GB2312" w:eastAsia="仿宋_GB2312"/>
          <w:sz w:val="32"/>
          <w:szCs w:val="32"/>
        </w:rPr>
        <w:t>，参赛不足8人（含）的，递减一名录取。</w:t>
      </w:r>
    </w:p>
    <w:p>
      <w:pPr>
        <w:spacing w:line="540" w:lineRule="exact"/>
        <w:ind w:right="-63" w:rightChars="-30" w:firstLine="627" w:firstLineChars="196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ascii="仿宋_GB2312" w:hAnsi="Times New Roman" w:eastAsia="仿宋_GB2312"/>
          <w:color w:val="000000"/>
          <w:sz w:val="32"/>
          <w:szCs w:val="32"/>
        </w:rPr>
        <w:t>（三）获得比赛前3名的运动员（队），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运动员</w:t>
      </w:r>
      <w:r>
        <w:rPr>
          <w:rFonts w:ascii="仿宋_GB2312" w:hAnsi="Times New Roman" w:eastAsia="仿宋_GB2312"/>
          <w:color w:val="000000"/>
          <w:sz w:val="32"/>
          <w:szCs w:val="32"/>
        </w:rPr>
        <w:t>分别颁发奖牌和证书；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其他</w:t>
      </w:r>
      <w:r>
        <w:rPr>
          <w:rFonts w:ascii="仿宋_GB2312" w:hAnsi="Times New Roman" w:eastAsia="仿宋_GB2312"/>
          <w:color w:val="000000"/>
          <w:sz w:val="32"/>
          <w:szCs w:val="32"/>
        </w:rPr>
        <w:t>获得名次者分别颁发证书。</w:t>
      </w:r>
    </w:p>
    <w:p>
      <w:pPr>
        <w:spacing w:line="540" w:lineRule="exact"/>
        <w:ind w:firstLine="640" w:firstLineChars="200"/>
        <w:rPr>
          <w:rFonts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八、</w:t>
      </w:r>
      <w:r>
        <w:rPr>
          <w:rFonts w:hint="eastAsia" w:ascii="黑体" w:hAnsi="黑体" w:eastAsia="黑体" w:cs="黑体"/>
          <w:sz w:val="32"/>
          <w:szCs w:val="32"/>
        </w:rPr>
        <w:t>疫情防控</w:t>
      </w:r>
    </w:p>
    <w:p>
      <w:pPr>
        <w:widowControl/>
        <w:overflowPunct w:val="0"/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按照《北京市第十六届运动会疫情防控方案》相关要求做好防控工作。</w:t>
      </w:r>
    </w:p>
    <w:p>
      <w:pPr>
        <w:spacing w:line="540" w:lineRule="exact"/>
        <w:ind w:firstLine="707" w:firstLineChars="221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九、反兴奋剂和赛风赛纪</w:t>
      </w:r>
    </w:p>
    <w:p>
      <w:pPr>
        <w:spacing w:line="560" w:lineRule="exact"/>
        <w:ind w:firstLine="627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按照</w:t>
      </w:r>
      <w:r>
        <w:rPr>
          <w:rFonts w:hint="eastAsia" w:ascii="仿宋_GB2312" w:hAnsi="仿宋" w:eastAsia="仿宋_GB2312" w:cs="仿宋_GB2312"/>
          <w:sz w:val="32"/>
          <w:szCs w:val="32"/>
        </w:rPr>
        <w:t>《北京市第十六届运动会青少年竞技组竞赛规程总则》和组委会反兴奋剂、</w:t>
      </w:r>
      <w:r>
        <w:rPr>
          <w:rFonts w:hint="eastAsia" w:ascii="仿宋_GB2312" w:eastAsia="仿宋_GB2312"/>
          <w:color w:val="000000"/>
          <w:sz w:val="32"/>
          <w:szCs w:val="32"/>
        </w:rPr>
        <w:t>赛风赛纪有关规定</w:t>
      </w:r>
      <w:r>
        <w:rPr>
          <w:rFonts w:hint="eastAsia" w:ascii="仿宋_GB2312" w:hAnsi="Times New Roman" w:eastAsia="仿宋_GB2312"/>
          <w:sz w:val="32"/>
          <w:szCs w:val="32"/>
        </w:rPr>
        <w:t>执行。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十、仲裁委员会和裁判员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按照《北京市第十六届运动会青少年竞技组竞赛规程总则》执行。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</w:rPr>
        <w:t>一</w:t>
      </w:r>
      <w:r>
        <w:rPr>
          <w:rFonts w:ascii="黑体" w:hAnsi="黑体" w:eastAsia="黑体" w:cs="黑体"/>
          <w:sz w:val="32"/>
          <w:szCs w:val="32"/>
        </w:rPr>
        <w:t>、本规程解释、修改权属</w:t>
      </w:r>
      <w:r>
        <w:rPr>
          <w:rFonts w:hint="eastAsia" w:ascii="黑体" w:hAnsi="黑体" w:eastAsia="黑体" w:cs="黑体"/>
          <w:sz w:val="32"/>
          <w:szCs w:val="32"/>
        </w:rPr>
        <w:t>北京市第十六届运动会组委会</w:t>
      </w:r>
      <w:r>
        <w:rPr>
          <w:rFonts w:ascii="黑体" w:hAnsi="黑体" w:eastAsia="黑体" w:cs="黑体"/>
          <w:sz w:val="32"/>
          <w:szCs w:val="32"/>
        </w:rPr>
        <w:t>，未尽事宜由承办单位另行通知。</w:t>
      </w:r>
    </w:p>
    <w:p/>
    <w:sectPr>
      <w:footerReference r:id="rId3" w:type="default"/>
      <w:footerReference r:id="rId4" w:type="even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546566470"/>
    </w:sdtPr>
    <w:sdtEndPr>
      <w:rPr>
        <w:rStyle w:val="7"/>
        <w:rFonts w:ascii="宋体" w:hAnsi="宋体" w:eastAsia="宋体"/>
        <w:sz w:val="28"/>
      </w:rPr>
    </w:sdtEndPr>
    <w:sdtContent>
      <w:p>
        <w:pPr>
          <w:pStyle w:val="3"/>
          <w:framePr w:wrap="around" w:vAnchor="text" w:hAnchor="margin" w:xAlign="outside" w:y="1"/>
          <w:rPr>
            <w:rStyle w:val="7"/>
            <w:rFonts w:ascii="宋体" w:hAnsi="宋体" w:eastAsia="宋体"/>
            <w:sz w:val="28"/>
          </w:rPr>
        </w:pPr>
        <w:r>
          <w:rPr>
            <w:rStyle w:val="7"/>
            <w:rFonts w:ascii="宋体" w:hAnsi="宋体" w:eastAsia="宋体"/>
            <w:sz w:val="28"/>
          </w:rPr>
          <w:fldChar w:fldCharType="begin"/>
        </w:r>
        <w:r>
          <w:rPr>
            <w:rStyle w:val="7"/>
            <w:rFonts w:ascii="宋体" w:hAnsi="宋体" w:eastAsia="宋体"/>
            <w:sz w:val="28"/>
          </w:rPr>
          <w:instrText xml:space="preserve"> PAGE </w:instrText>
        </w:r>
        <w:r>
          <w:rPr>
            <w:rStyle w:val="7"/>
            <w:rFonts w:ascii="宋体" w:hAnsi="宋体" w:eastAsia="宋体"/>
            <w:sz w:val="28"/>
          </w:rPr>
          <w:fldChar w:fldCharType="separate"/>
        </w:r>
        <w:r>
          <w:rPr>
            <w:rStyle w:val="7"/>
            <w:rFonts w:ascii="宋体" w:hAnsi="宋体" w:eastAsia="宋体"/>
            <w:sz w:val="28"/>
          </w:rPr>
          <w:t>1</w:t>
        </w:r>
        <w:r>
          <w:rPr>
            <w:rStyle w:val="7"/>
            <w:rFonts w:ascii="宋体" w:hAnsi="宋体" w:eastAsia="宋体"/>
            <w:sz w:val="28"/>
          </w:rPr>
          <w:fldChar w:fldCharType="end"/>
        </w:r>
      </w:p>
    </w:sdtContent>
  </w:sdt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1699120040"/>
    </w:sdtPr>
    <w:sdtEndPr>
      <w:rPr>
        <w:rStyle w:val="7"/>
      </w:rPr>
    </w:sdtEndPr>
    <w:sdtContent>
      <w:p>
        <w:pPr>
          <w:pStyle w:val="3"/>
          <w:framePr w:wrap="around" w:vAnchor="text" w:hAnchor="margin" w:xAlign="outside" w:y="1"/>
          <w:rPr>
            <w:rStyle w:val="7"/>
          </w:rPr>
        </w:pPr>
        <w:r>
          <w:rPr>
            <w:rStyle w:val="7"/>
          </w:rPr>
          <w:fldChar w:fldCharType="begin"/>
        </w:r>
        <w:r>
          <w:rPr>
            <w:rStyle w:val="7"/>
          </w:rPr>
          <w:instrText xml:space="preserve"> PAGE </w:instrText>
        </w:r>
        <w:r>
          <w:rPr>
            <w:rStyle w:val="7"/>
          </w:rPr>
          <w:fldChar w:fldCharType="end"/>
        </w:r>
      </w:p>
    </w:sdtContent>
  </w:sdt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VmZDEwNzIwZDhmNWQ5MDVhMGM1ZjVhMDMzMDk3NTIifQ=="/>
  </w:docVars>
  <w:rsids>
    <w:rsidRoot w:val="00423D5C"/>
    <w:rsid w:val="00035081"/>
    <w:rsid w:val="0014314F"/>
    <w:rsid w:val="002F6C06"/>
    <w:rsid w:val="00423D5C"/>
    <w:rsid w:val="00484866"/>
    <w:rsid w:val="007C5E39"/>
    <w:rsid w:val="00934D93"/>
    <w:rsid w:val="00A763E7"/>
    <w:rsid w:val="00AB0EB3"/>
    <w:rsid w:val="00D01C49"/>
    <w:rsid w:val="00D133B5"/>
    <w:rsid w:val="00D727DB"/>
    <w:rsid w:val="00E52653"/>
    <w:rsid w:val="01BE6F5C"/>
    <w:rsid w:val="02430B55"/>
    <w:rsid w:val="04A81782"/>
    <w:rsid w:val="065C00A9"/>
    <w:rsid w:val="0BB8257A"/>
    <w:rsid w:val="0BBB6C2F"/>
    <w:rsid w:val="0C115FF5"/>
    <w:rsid w:val="0C887B72"/>
    <w:rsid w:val="0F24533C"/>
    <w:rsid w:val="11B359E6"/>
    <w:rsid w:val="13885F0D"/>
    <w:rsid w:val="14827314"/>
    <w:rsid w:val="14C301D5"/>
    <w:rsid w:val="152E52E5"/>
    <w:rsid w:val="178062E8"/>
    <w:rsid w:val="18A46E1B"/>
    <w:rsid w:val="1BA13A13"/>
    <w:rsid w:val="1F800A0F"/>
    <w:rsid w:val="24752068"/>
    <w:rsid w:val="26B24DF9"/>
    <w:rsid w:val="298D4CAF"/>
    <w:rsid w:val="2BBC4297"/>
    <w:rsid w:val="2E4C4DD6"/>
    <w:rsid w:val="2F5649A4"/>
    <w:rsid w:val="366E278E"/>
    <w:rsid w:val="37B24476"/>
    <w:rsid w:val="3900525F"/>
    <w:rsid w:val="3A04717D"/>
    <w:rsid w:val="3A940898"/>
    <w:rsid w:val="3BB60292"/>
    <w:rsid w:val="3CE973D9"/>
    <w:rsid w:val="3D64203D"/>
    <w:rsid w:val="3E655E3A"/>
    <w:rsid w:val="3F2A2671"/>
    <w:rsid w:val="453D43C8"/>
    <w:rsid w:val="45814287"/>
    <w:rsid w:val="48404E85"/>
    <w:rsid w:val="4847302B"/>
    <w:rsid w:val="4858756F"/>
    <w:rsid w:val="4BF303E0"/>
    <w:rsid w:val="4C0C32C8"/>
    <w:rsid w:val="4E6217CA"/>
    <w:rsid w:val="51C413B8"/>
    <w:rsid w:val="5A186745"/>
    <w:rsid w:val="5EEA0A95"/>
    <w:rsid w:val="63F206D4"/>
    <w:rsid w:val="657053DC"/>
    <w:rsid w:val="67A52932"/>
    <w:rsid w:val="6A4355F1"/>
    <w:rsid w:val="6DBB14BD"/>
    <w:rsid w:val="6E853AE6"/>
    <w:rsid w:val="7294321C"/>
    <w:rsid w:val="72C859ED"/>
    <w:rsid w:val="75202A65"/>
    <w:rsid w:val="75493DAD"/>
    <w:rsid w:val="76BD6445"/>
    <w:rsid w:val="7AE83811"/>
    <w:rsid w:val="7B273FF1"/>
    <w:rsid w:val="7B6779E7"/>
    <w:rsid w:val="7C8D2328"/>
    <w:rsid w:val="7CF11D3F"/>
    <w:rsid w:val="7D5361E7"/>
    <w:rsid w:val="7DC1685B"/>
    <w:rsid w:val="7F8A1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unhideWhenUsed/>
    <w:qFormat/>
    <w:uiPriority w:val="99"/>
    <w:pPr>
      <w:ind w:left="200" w:hanging="200" w:hangingChars="200"/>
      <w:contextualSpacing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semiHidden/>
    <w:unhideWhenUsed/>
    <w:qFormat/>
    <w:uiPriority w:val="99"/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1795</Words>
  <Characters>1920</Characters>
  <Lines>14</Lines>
  <Paragraphs>4</Paragraphs>
  <TotalTime>2</TotalTime>
  <ScaleCrop>false</ScaleCrop>
  <LinksUpToDate>false</LinksUpToDate>
  <CharactersWithSpaces>1940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2022-08-23T08:34:00Z</dcterms:created>
  <dc:creator>Administrator</dc:creator>
  <cp:lastModifiedBy>L i lian</cp:lastModifiedBy>
  <cp:lastPrinted>2022-08-25T01:29:00Z</cp:lastPrinted>
  <dcterms:modified xsi:type="dcterms:W3CDTF">2022-08-30T01:17:13Z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A57A1219B0BF4324A137C31C222DDAE6</vt:lpwstr>
  </property>
  <property fmtid="{D5CDD505-2E9C-101B-9397-08002B2CF9AE}" pid="4" name="commondata">
    <vt:lpwstr>eyJoZGlkIjoiYTg4OGE4ZWY1ODQ1MDU4ZWU0MjdiOWZkYzc4NTk5NWYifQ==</vt:lpwstr>
  </property>
</Properties>
</file>