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rPr>
      </w:pPr>
      <w:r>
        <w:rPr>
          <w:rFonts w:hint="eastAsia" w:ascii="黑体" w:hAnsi="黑体" w:eastAsia="黑体"/>
        </w:rPr>
        <w:t>附件1</w:t>
      </w:r>
    </w:p>
    <w:p>
      <w:pPr>
        <w:spacing w:line="560" w:lineRule="exact"/>
        <w:jc w:val="center"/>
        <w:rPr>
          <w:rFonts w:ascii="方正小标宋简体" w:hAnsi="仿宋" w:eastAsia="方正小标宋简体" w:cs="方正小标宋简体"/>
          <w:sz w:val="44"/>
          <w:szCs w:val="44"/>
        </w:rPr>
      </w:pPr>
      <w:r>
        <w:rPr>
          <w:rFonts w:hint="eastAsia" w:ascii="方正小标宋简体" w:hAnsi="仿宋" w:eastAsia="方正小标宋简体" w:cs="方正小标宋简体"/>
          <w:sz w:val="44"/>
          <w:szCs w:val="44"/>
        </w:rPr>
        <w:t>2023年北京市青少年手球锦标赛</w:t>
      </w:r>
    </w:p>
    <w:p>
      <w:pPr>
        <w:spacing w:line="560" w:lineRule="exact"/>
        <w:jc w:val="center"/>
        <w:rPr>
          <w:rFonts w:ascii="方正小标宋简体" w:hAnsi="仿宋" w:eastAsia="方正小标宋简体" w:cs="方正小标宋简体"/>
          <w:sz w:val="44"/>
          <w:szCs w:val="44"/>
        </w:rPr>
      </w:pPr>
      <w:r>
        <w:rPr>
          <w:rFonts w:hint="eastAsia" w:ascii="方正小标宋简体" w:hAnsi="仿宋" w:eastAsia="方正小标宋简体" w:cs="方正小标宋简体"/>
          <w:sz w:val="44"/>
          <w:szCs w:val="44"/>
        </w:rPr>
        <w:t>竞赛规程</w:t>
      </w:r>
    </w:p>
    <w:p>
      <w:pPr>
        <w:spacing w:line="520" w:lineRule="exact"/>
        <w:jc w:val="center"/>
        <w:rPr>
          <w:rFonts w:ascii="宋体" w:hAnsi="宋体"/>
          <w:color w:val="000000"/>
        </w:rPr>
      </w:pP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一、主办单位</w:t>
      </w:r>
    </w:p>
    <w:p>
      <w:pPr>
        <w:spacing w:line="560" w:lineRule="exact"/>
        <w:ind w:firstLine="640" w:firstLineChars="200"/>
        <w:rPr>
          <w:rFonts w:hAnsi="仿宋" w:cs="黑体"/>
          <w:color w:val="000000"/>
        </w:rPr>
      </w:pPr>
      <w:r>
        <w:rPr>
          <w:rFonts w:hint="eastAsia" w:hAnsi="仿宋" w:cs="黑体"/>
          <w:color w:val="000000"/>
        </w:rPr>
        <w:t>北京市体育局</w:t>
      </w:r>
    </w:p>
    <w:p>
      <w:pPr>
        <w:spacing w:line="560" w:lineRule="exact"/>
        <w:ind w:firstLine="640" w:firstLineChars="200"/>
        <w:rPr>
          <w:rFonts w:hAnsi="仿宋" w:cs="黑体"/>
          <w:color w:val="000000"/>
        </w:rPr>
      </w:pPr>
      <w:r>
        <w:rPr>
          <w:rFonts w:hint="eastAsia" w:hAnsi="仿宋" w:cs="黑体"/>
          <w:color w:val="000000"/>
        </w:rPr>
        <w:t>北京市教育委员会</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二、承办单位</w:t>
      </w:r>
    </w:p>
    <w:p>
      <w:pPr>
        <w:spacing w:line="560" w:lineRule="exact"/>
        <w:ind w:firstLine="640" w:firstLineChars="200"/>
        <w:rPr>
          <w:rFonts w:hAnsi="仿宋" w:cs="黑体"/>
          <w:color w:val="000000"/>
        </w:rPr>
      </w:pPr>
      <w:r>
        <w:rPr>
          <w:rFonts w:hint="eastAsia" w:hAnsi="仿宋" w:cs="黑体"/>
          <w:color w:val="000000"/>
        </w:rPr>
        <w:t>北京市体育竞赛管理和国际交流中心</w:t>
      </w:r>
    </w:p>
    <w:p>
      <w:pPr>
        <w:spacing w:line="560" w:lineRule="exact"/>
        <w:ind w:firstLine="640" w:firstLineChars="200"/>
        <w:rPr>
          <w:rFonts w:hAnsi="仿宋" w:cs="黑体"/>
          <w:color w:val="000000"/>
        </w:rPr>
      </w:pPr>
      <w:r>
        <w:rPr>
          <w:rFonts w:hint="eastAsia" w:hAnsi="仿宋"/>
          <w:color w:val="000000"/>
        </w:rPr>
        <w:t>北京市手球运动协会</w:t>
      </w:r>
    </w:p>
    <w:p>
      <w:pPr>
        <w:spacing w:line="560" w:lineRule="exact"/>
        <w:ind w:firstLine="640" w:firstLineChars="200"/>
        <w:rPr>
          <w:rFonts w:hAnsi="仿宋" w:cs="黑体"/>
          <w:color w:val="000000"/>
        </w:rPr>
      </w:pPr>
      <w:r>
        <w:rPr>
          <w:rFonts w:hint="eastAsia" w:hAnsi="仿宋" w:cs="黑体"/>
          <w:color w:val="000000"/>
        </w:rPr>
        <w:t>北京市房山区燕山体育运动中心</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三、协办单位</w:t>
      </w:r>
    </w:p>
    <w:p>
      <w:pPr>
        <w:spacing w:line="560" w:lineRule="exact"/>
        <w:ind w:firstLine="640" w:firstLineChars="200"/>
        <w:jc w:val="left"/>
        <w:outlineLvl w:val="0"/>
        <w:rPr>
          <w:rFonts w:hAnsi="仿宋" w:cs="黑体"/>
          <w:color w:val="000000"/>
        </w:rPr>
      </w:pPr>
      <w:r>
        <w:rPr>
          <w:rFonts w:hint="eastAsia" w:hAnsi="仿宋" w:cs="黑体"/>
          <w:color w:val="000000"/>
        </w:rPr>
        <w:t>北京华玉体育文化发展有限公司</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四、时间和地点</w:t>
      </w:r>
    </w:p>
    <w:p>
      <w:pPr>
        <w:spacing w:line="560" w:lineRule="exact"/>
        <w:ind w:firstLine="640" w:firstLineChars="200"/>
        <w:jc w:val="left"/>
        <w:rPr>
          <w:rFonts w:hAnsi="仿宋"/>
          <w:color w:val="000000"/>
        </w:rPr>
      </w:pPr>
      <w:r>
        <w:rPr>
          <w:rFonts w:hint="eastAsia" w:hAnsi="仿宋"/>
          <w:color w:val="000000"/>
        </w:rPr>
        <w:t>2023年7月26-29日在燕山体育运动中心（房山区燕房路52号）</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五、竞赛组别和年龄</w:t>
      </w:r>
    </w:p>
    <w:p>
      <w:pPr>
        <w:spacing w:line="560" w:lineRule="exact"/>
        <w:ind w:firstLine="640" w:firstLineChars="200"/>
        <w:rPr>
          <w:rFonts w:hAnsi="仿宋" w:cs="黑体"/>
          <w:color w:val="000000"/>
        </w:rPr>
      </w:pPr>
      <w:r>
        <w:rPr>
          <w:rFonts w:hint="eastAsia" w:hAnsi="仿宋" w:cs="黑体"/>
          <w:color w:val="000000"/>
        </w:rPr>
        <w:t>甲组（男、女）：2006年1月1日至2007年12月31日出生（16至17岁）；</w:t>
      </w:r>
    </w:p>
    <w:p>
      <w:pPr>
        <w:spacing w:line="560" w:lineRule="exact"/>
        <w:ind w:firstLine="640" w:firstLineChars="200"/>
        <w:rPr>
          <w:rFonts w:hAnsi="仿宋" w:cs="黑体"/>
          <w:color w:val="000000"/>
        </w:rPr>
      </w:pPr>
      <w:r>
        <w:rPr>
          <w:rFonts w:hint="eastAsia" w:hAnsi="仿宋" w:cs="黑体"/>
          <w:color w:val="000000"/>
        </w:rPr>
        <w:t>乙组（男、女）：2008年1月1日至2012年12月31日出生（11至15岁）。</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六、运动员资格</w:t>
      </w:r>
    </w:p>
    <w:p>
      <w:pPr>
        <w:spacing w:line="560" w:lineRule="exact"/>
        <w:ind w:firstLine="640" w:firstLineChars="200"/>
        <w:jc w:val="left"/>
        <w:outlineLvl w:val="0"/>
        <w:rPr>
          <w:rFonts w:hAnsi="仿宋"/>
        </w:rPr>
      </w:pPr>
      <w:r>
        <w:rPr>
          <w:rFonts w:hint="eastAsia" w:hAnsi="仿宋"/>
        </w:rPr>
        <w:t>（一）符合北京市体育局《北京市青少年运动员注册管理办法（试行）》（京体竞技字〔2011〕10号）的有关规定。</w:t>
      </w:r>
    </w:p>
    <w:p>
      <w:pPr>
        <w:spacing w:line="560" w:lineRule="exact"/>
        <w:ind w:firstLine="640" w:firstLineChars="200"/>
        <w:jc w:val="left"/>
        <w:outlineLvl w:val="0"/>
        <w:rPr>
          <w:rFonts w:ascii="宋体" w:hAnsi="宋体"/>
          <w:color w:val="000000"/>
        </w:rPr>
      </w:pPr>
      <w:r>
        <w:rPr>
          <w:rFonts w:hint="eastAsia" w:hAnsi="仿宋"/>
        </w:rPr>
        <w:t>（二）符合《北京市体育局关于开展2023年度北京市青少年运动员注册工作的通知》（京体青字〔2022〕26号）的有关要求。</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七、参加办法</w:t>
      </w:r>
    </w:p>
    <w:p>
      <w:pPr>
        <w:spacing w:line="560" w:lineRule="exact"/>
        <w:ind w:firstLine="640" w:firstLineChars="200"/>
        <w:rPr>
          <w:rFonts w:hAnsi="仿宋"/>
        </w:rPr>
      </w:pPr>
      <w:r>
        <w:rPr>
          <w:rFonts w:hint="eastAsia" w:hAnsi="仿宋"/>
        </w:rPr>
        <w:t>（一）以区为单位组队参加。</w:t>
      </w:r>
    </w:p>
    <w:p>
      <w:pPr>
        <w:spacing w:line="560" w:lineRule="exact"/>
        <w:ind w:firstLine="640" w:firstLineChars="200"/>
        <w:jc w:val="left"/>
        <w:rPr>
          <w:rFonts w:hAnsi="仿宋"/>
        </w:rPr>
      </w:pPr>
      <w:r>
        <w:rPr>
          <w:rFonts w:hint="eastAsia" w:hAnsi="仿宋"/>
        </w:rPr>
        <w:t>（二）所有参赛人员经二级以上医院检查证明身体健康。</w:t>
      </w:r>
    </w:p>
    <w:p>
      <w:pPr>
        <w:spacing w:line="560" w:lineRule="exact"/>
        <w:ind w:firstLine="640" w:firstLineChars="200"/>
        <w:jc w:val="left"/>
        <w:rPr>
          <w:rFonts w:hAnsi="仿宋"/>
        </w:rPr>
      </w:pPr>
      <w:r>
        <w:rPr>
          <w:rFonts w:hint="eastAsia" w:hAnsi="仿宋"/>
        </w:rPr>
        <w:t xml:space="preserve">（三）以2023年度青少年运动员注册为依据，运动员只能代表2023年度注册单位参加比赛。 </w:t>
      </w:r>
    </w:p>
    <w:p>
      <w:pPr>
        <w:spacing w:line="560" w:lineRule="exact"/>
        <w:ind w:firstLine="640" w:firstLineChars="200"/>
        <w:jc w:val="left"/>
        <w:rPr>
          <w:rFonts w:hAnsi="仿宋"/>
        </w:rPr>
      </w:pPr>
      <w:r>
        <w:rPr>
          <w:rFonts w:hint="eastAsia" w:hAnsi="仿宋"/>
        </w:rPr>
        <w:t>（四）每队可报领队1人，教练员3人，队医1人，运动员最少10，最多16人。赛前领队或教练员和至少7名有参赛资格的运动员必须到场，否则不允许进行比赛，该队比赛按弃权处理。</w:t>
      </w:r>
    </w:p>
    <w:p>
      <w:pPr>
        <w:spacing w:line="560" w:lineRule="exact"/>
        <w:ind w:firstLine="640" w:firstLineChars="200"/>
        <w:jc w:val="left"/>
        <w:outlineLvl w:val="0"/>
        <w:rPr>
          <w:rFonts w:hAnsi="仿宋"/>
        </w:rPr>
      </w:pPr>
      <w:r>
        <w:rPr>
          <w:rFonts w:hint="eastAsia" w:hAnsi="仿宋"/>
        </w:rPr>
        <w:t>（五）2023年北京市青少年U系列手球冠军赛各组别前八名的运动队，</w:t>
      </w:r>
      <w:r>
        <w:rPr>
          <w:rFonts w:hint="eastAsia" w:hAnsi="宋体"/>
        </w:rPr>
        <w:t>运动员已经到场检录通过身份确认，</w:t>
      </w:r>
      <w:r>
        <w:rPr>
          <w:rFonts w:hint="eastAsia" w:hAnsi="仿宋"/>
        </w:rPr>
        <w:t>并且符合参赛资格的运动员不少于10人。</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八、竞赛办法</w:t>
      </w:r>
    </w:p>
    <w:p>
      <w:pPr>
        <w:spacing w:line="560" w:lineRule="exact"/>
        <w:ind w:firstLine="640" w:firstLineChars="200"/>
        <w:jc w:val="left"/>
        <w:rPr>
          <w:rFonts w:hAnsi="宋体"/>
          <w:color w:val="000000"/>
        </w:rPr>
      </w:pPr>
      <w:r>
        <w:rPr>
          <w:rFonts w:hint="eastAsia" w:hAnsi="宋体"/>
          <w:color w:val="000000"/>
        </w:rPr>
        <w:t>（一）采用中国手球协会最新审定的《手球竞赛规则》。</w:t>
      </w:r>
    </w:p>
    <w:p>
      <w:pPr>
        <w:spacing w:line="560" w:lineRule="exact"/>
        <w:ind w:firstLine="640" w:firstLineChars="200"/>
        <w:jc w:val="left"/>
        <w:rPr>
          <w:rFonts w:hAnsi="宋体" w:cs="宋体"/>
          <w:kern w:val="0"/>
        </w:rPr>
      </w:pPr>
      <w:r>
        <w:rPr>
          <w:rFonts w:hint="eastAsia" w:hAnsi="宋体" w:cs="宋体"/>
          <w:kern w:val="0"/>
        </w:rPr>
        <w:t>1.比赛中快攻和快板得分计 1.5 分。以上所述两种情况如在一次射门中同时出现，不累计得分，仅记 1.5 分；</w:t>
      </w:r>
    </w:p>
    <w:p>
      <w:pPr>
        <w:spacing w:line="560" w:lineRule="exact"/>
        <w:ind w:firstLine="640" w:firstLineChars="200"/>
        <w:jc w:val="left"/>
        <w:rPr>
          <w:rFonts w:hAnsi="宋体" w:cs="宋体"/>
          <w:kern w:val="0"/>
        </w:rPr>
      </w:pPr>
      <w:r>
        <w:rPr>
          <w:rFonts w:hint="eastAsia" w:hAnsi="宋体" w:cs="宋体"/>
          <w:kern w:val="0"/>
        </w:rPr>
        <w:t>2.中场开球后符合快攻要求的得分记 1.5 分。</w:t>
      </w:r>
    </w:p>
    <w:p>
      <w:pPr>
        <w:spacing w:line="560" w:lineRule="exact"/>
        <w:ind w:firstLine="640" w:firstLineChars="200"/>
        <w:jc w:val="left"/>
        <w:rPr>
          <w:rFonts w:hAnsi="宋体"/>
          <w:color w:val="000000"/>
        </w:rPr>
      </w:pPr>
      <w:r>
        <w:rPr>
          <w:rFonts w:hint="eastAsia" w:hAnsi="宋体"/>
          <w:color w:val="000000"/>
        </w:rPr>
        <w:t>（二）抽签与编排办法视报名情况在赛前领队会或技术会议上确定。</w:t>
      </w:r>
    </w:p>
    <w:p>
      <w:pPr>
        <w:spacing w:line="560" w:lineRule="exact"/>
        <w:ind w:firstLine="640" w:firstLineChars="200"/>
        <w:jc w:val="left"/>
        <w:rPr>
          <w:rFonts w:hAnsi="宋体" w:cs="宋体"/>
          <w:color w:val="000000"/>
          <w:kern w:val="0"/>
        </w:rPr>
      </w:pPr>
      <w:r>
        <w:rPr>
          <w:rFonts w:hint="eastAsia" w:hAnsi="宋体" w:cs="宋体"/>
          <w:color w:val="000000"/>
          <w:kern w:val="0"/>
        </w:rPr>
        <w:t>（三）</w:t>
      </w:r>
      <w:r>
        <w:rPr>
          <w:rFonts w:hAnsi="仿宋"/>
        </w:rPr>
        <w:t>报名不足3队时，则不进行比赛。已报名而参赛不足3队时，</w:t>
      </w:r>
      <w:r>
        <w:rPr>
          <w:rFonts w:hint="eastAsia" w:hAnsi="仿宋"/>
        </w:rPr>
        <w:t>不</w:t>
      </w:r>
      <w:r>
        <w:rPr>
          <w:rFonts w:hAnsi="仿宋"/>
        </w:rPr>
        <w:t>进行比赛和录取名次。</w:t>
      </w:r>
      <w:r>
        <w:rPr>
          <w:rFonts w:hint="eastAsia" w:hAnsi="仿宋"/>
        </w:rPr>
        <w:t>实际到场</w:t>
      </w:r>
      <w:r>
        <w:rPr>
          <w:rFonts w:hAnsi="仿宋"/>
        </w:rPr>
        <w:t>参赛3队时，可进行比赛和录取名次。</w:t>
      </w:r>
    </w:p>
    <w:p>
      <w:pPr>
        <w:spacing w:line="560" w:lineRule="exact"/>
        <w:ind w:firstLine="640" w:firstLineChars="200"/>
        <w:jc w:val="left"/>
        <w:rPr>
          <w:rFonts w:hAnsi="宋体" w:cs="宋体"/>
          <w:color w:val="000000"/>
          <w:kern w:val="0"/>
        </w:rPr>
      </w:pPr>
      <w:r>
        <w:rPr>
          <w:rFonts w:hint="eastAsia" w:hAnsi="宋体" w:cs="宋体"/>
          <w:color w:val="000000"/>
          <w:kern w:val="0"/>
        </w:rPr>
        <w:t>（四）决定名次办法</w:t>
      </w:r>
    </w:p>
    <w:p>
      <w:pPr>
        <w:spacing w:line="560" w:lineRule="exact"/>
        <w:ind w:firstLine="640" w:firstLineChars="200"/>
        <w:jc w:val="left"/>
        <w:rPr>
          <w:rFonts w:hAnsi="宋体" w:cs="宋体"/>
          <w:color w:val="000000"/>
          <w:kern w:val="0"/>
        </w:rPr>
      </w:pPr>
      <w:r>
        <w:rPr>
          <w:rFonts w:hint="eastAsia" w:hAnsi="宋体" w:cs="宋体"/>
          <w:color w:val="000000"/>
          <w:kern w:val="0"/>
        </w:rPr>
        <w:t>1.胜一场得 3 分，负一场得 0 分，如通过掷发七米球决出单场比赛胜负的，胜队积 2 分，负队积 1 分。积分多者名次列前；</w:t>
      </w:r>
    </w:p>
    <w:p>
      <w:pPr>
        <w:spacing w:line="560" w:lineRule="exact"/>
        <w:ind w:firstLine="640" w:firstLineChars="200"/>
        <w:jc w:val="left"/>
        <w:rPr>
          <w:rFonts w:hAnsi="宋体" w:cs="宋体"/>
          <w:color w:val="000000"/>
          <w:kern w:val="0"/>
        </w:rPr>
      </w:pPr>
      <w:r>
        <w:rPr>
          <w:rFonts w:hint="eastAsia" w:hAnsi="宋体" w:cs="宋体"/>
          <w:color w:val="000000"/>
          <w:kern w:val="0"/>
        </w:rPr>
        <w:t>2.弃权队按 0-10 计算，如弃权时净负球多于 10 个，按实际比分计算。弃权队不得因弃权获得任何利益，并由仲裁决定是否需要执行</w:t>
      </w:r>
      <w:r>
        <w:rPr>
          <w:rFonts w:hint="eastAsia" w:hAnsi="仿宋"/>
        </w:rPr>
        <w:t>追加处罚；</w:t>
      </w:r>
    </w:p>
    <w:p>
      <w:pPr>
        <w:spacing w:line="560" w:lineRule="exact"/>
        <w:ind w:firstLine="640" w:firstLineChars="200"/>
        <w:jc w:val="left"/>
        <w:rPr>
          <w:rFonts w:hAnsi="宋体" w:cs="宋体"/>
          <w:color w:val="000000"/>
          <w:kern w:val="0"/>
        </w:rPr>
      </w:pPr>
      <w:r>
        <w:rPr>
          <w:rFonts w:hint="eastAsia" w:hAnsi="宋体" w:cs="宋体"/>
          <w:color w:val="000000"/>
          <w:kern w:val="0"/>
        </w:rPr>
        <w:t>3.如遇两队或两队以上积分相等，按下列办法计算名次：</w:t>
      </w:r>
    </w:p>
    <w:p>
      <w:pPr>
        <w:spacing w:line="560" w:lineRule="exact"/>
        <w:ind w:firstLine="640" w:firstLineChars="200"/>
        <w:jc w:val="left"/>
        <w:rPr>
          <w:rFonts w:hAnsi="宋体" w:cs="宋体"/>
          <w:color w:val="000000"/>
          <w:kern w:val="0"/>
        </w:rPr>
      </w:pPr>
      <w:r>
        <w:rPr>
          <w:rFonts w:hint="eastAsia" w:hAnsi="宋体" w:cs="宋体"/>
          <w:color w:val="000000"/>
          <w:kern w:val="0"/>
        </w:rPr>
        <w:t>（1）有关队相互间比赛积分多者名次列前；</w:t>
      </w:r>
    </w:p>
    <w:p>
      <w:pPr>
        <w:spacing w:line="560" w:lineRule="exact"/>
        <w:ind w:firstLine="640" w:firstLineChars="200"/>
        <w:jc w:val="left"/>
        <w:rPr>
          <w:rFonts w:hAnsi="宋体" w:cs="宋体"/>
          <w:color w:val="000000"/>
          <w:kern w:val="0"/>
        </w:rPr>
      </w:pPr>
      <w:r>
        <w:rPr>
          <w:rFonts w:hint="eastAsia" w:hAnsi="宋体" w:cs="宋体"/>
          <w:color w:val="000000"/>
          <w:kern w:val="0"/>
        </w:rPr>
        <w:t>（2）如果积分仍然相等，则积分相同队采用特别程序掷七米球决胜的方法排出名次。</w:t>
      </w:r>
      <w:r>
        <w:rPr>
          <w:rFonts w:hint="eastAsia" w:hAnsi="仿宋"/>
        </w:rPr>
        <w:t>特别程序掷七米球决胜，具体办法和要求如下：</w:t>
      </w:r>
    </w:p>
    <w:p>
      <w:pPr>
        <w:spacing w:line="560" w:lineRule="exact"/>
        <w:ind w:firstLine="640" w:firstLineChars="200"/>
        <w:rPr>
          <w:rFonts w:hAnsi="仿宋"/>
        </w:rPr>
      </w:pPr>
      <w:r>
        <w:rPr>
          <w:rFonts w:hAnsi="仿宋_GB2312"/>
          <w:lang w:val="zh-TW" w:eastAsia="zh-TW"/>
        </w:rPr>
        <w:t>①</w:t>
      </w:r>
      <w:r>
        <w:rPr>
          <w:rFonts w:hint="eastAsia" w:hAnsi="仿宋"/>
        </w:rPr>
        <w:t>掷七米球决胜将在循环赛结束当天适当时间进行；</w:t>
      </w:r>
    </w:p>
    <w:p>
      <w:pPr>
        <w:spacing w:line="560" w:lineRule="exact"/>
        <w:ind w:firstLine="640" w:firstLineChars="200"/>
        <w:rPr>
          <w:rFonts w:hAnsi="仿宋"/>
        </w:rPr>
      </w:pPr>
      <w:r>
        <w:rPr>
          <w:rFonts w:hAnsi="仿宋_GB2312"/>
          <w:lang w:val="zh-TW" w:eastAsia="zh-TW"/>
        </w:rPr>
        <w:t>②</w:t>
      </w:r>
      <w:r>
        <w:rPr>
          <w:rFonts w:hint="eastAsia" w:hAnsi="仿宋"/>
        </w:rPr>
        <w:t>掷七米球决胜的球门场地由裁判员确定；</w:t>
      </w:r>
    </w:p>
    <w:p>
      <w:pPr>
        <w:spacing w:line="560" w:lineRule="exact"/>
        <w:ind w:firstLine="640" w:firstLineChars="200"/>
        <w:rPr>
          <w:rFonts w:hAnsi="仿宋"/>
        </w:rPr>
      </w:pPr>
      <w:r>
        <w:rPr>
          <w:rFonts w:hAnsi="仿宋_GB2312"/>
          <w:lang w:val="zh-TW" w:eastAsia="zh-TW"/>
        </w:rPr>
        <w:t>③</w:t>
      </w:r>
      <w:r>
        <w:rPr>
          <w:rFonts w:hint="eastAsia" w:hAnsi="仿宋"/>
        </w:rPr>
        <w:t>同组积分相等的球队需预先抽签确定球队位置；</w:t>
      </w:r>
    </w:p>
    <w:p>
      <w:pPr>
        <w:spacing w:line="560" w:lineRule="exact"/>
        <w:ind w:firstLine="640" w:firstLineChars="200"/>
        <w:rPr>
          <w:rFonts w:hAnsi="仿宋"/>
        </w:rPr>
      </w:pPr>
      <w:r>
        <w:rPr>
          <w:rFonts w:hint="eastAsia" w:hAnsi="仿宋"/>
        </w:rPr>
        <w:t>④掷七米球决胜的有关队，每轮派出3名队员参加掷球，守门员可随意调换；有关队的教练员须先确定本队3名参加掷球队员的号码；双方各3名队员全部按规定顺序掷发一次七米球后为一轮，得分多者即获胜。如一轮结束未能决出胜负，教练员须重新确定3名参加掷球队员的号码（可和上轮掷球队员号码重复）进行一对一的掷发决胜（一方得分而对方未得分则结束）。如仍未分出胜负，则再确定3人重复进行一对一的掷发决胜，直至分出胜负。胜队得1分，负队0分；</w:t>
      </w:r>
    </w:p>
    <w:p>
      <w:pPr>
        <w:spacing w:line="560" w:lineRule="exact"/>
        <w:ind w:firstLine="640" w:firstLineChars="200"/>
        <w:rPr>
          <w:rFonts w:hAnsi="仿宋"/>
        </w:rPr>
      </w:pPr>
      <w:r>
        <w:rPr>
          <w:rFonts w:hint="eastAsia" w:hAnsi="仿宋"/>
        </w:rPr>
        <w:t>⑤根据球队抽签所确定的位置，按照3—1（决出胜负）、2—3（决出胜负）、1—2（决出胜负）的顺序进行掷七米球。排在左边的球队先掷球、右边的球队先守门，依次相互轮换。相关两支球队间直至决出胜负为止。然后再根据抽签的位置规定与另外一支球队继续进行掷七米球决胜；</w:t>
      </w:r>
    </w:p>
    <w:p>
      <w:pPr>
        <w:spacing w:line="560" w:lineRule="exact"/>
        <w:ind w:firstLine="640" w:firstLineChars="200"/>
        <w:rPr>
          <w:rFonts w:hAnsi="仿宋"/>
        </w:rPr>
      </w:pPr>
      <w:r>
        <w:rPr>
          <w:rFonts w:hint="eastAsia" w:hAnsi="仿宋"/>
        </w:rPr>
        <w:t>⑥相关队伍相互间全部对阵掷七米球决出胜负后为一个循环，如第一循环未能决出相应名次则进入第二循环。第二循环仍然依照第一循环方法进行，以此类推；</w:t>
      </w:r>
    </w:p>
    <w:p>
      <w:pPr>
        <w:spacing w:line="560" w:lineRule="exact"/>
        <w:ind w:firstLine="640" w:firstLineChars="200"/>
        <w:rPr>
          <w:rFonts w:hAnsi="仿宋"/>
        </w:rPr>
      </w:pPr>
      <w:r>
        <w:rPr>
          <w:rFonts w:hint="eastAsia" w:hAnsi="仿宋"/>
        </w:rPr>
        <w:t>⑦一个循环后按各队得分多少决定排名，得分多的队名次列前；</w:t>
      </w:r>
    </w:p>
    <w:p>
      <w:pPr>
        <w:spacing w:line="560" w:lineRule="exact"/>
        <w:ind w:firstLine="640" w:firstLineChars="200"/>
        <w:rPr>
          <w:rFonts w:hAnsi="仿宋"/>
        </w:rPr>
      </w:pPr>
      <w:r>
        <w:rPr>
          <w:rFonts w:hint="eastAsia" w:hAnsi="仿宋"/>
        </w:rPr>
        <w:t>⑧参加该轮次掷七米球的两支球队应位于中线以后的非比赛半场两侧，下一轮次掷罚七米球的球队应位于非比赛半场的球门区处或替补席候场；</w:t>
      </w:r>
    </w:p>
    <w:p>
      <w:pPr>
        <w:spacing w:line="560" w:lineRule="exact"/>
        <w:ind w:firstLine="640" w:firstLineChars="200"/>
        <w:jc w:val="left"/>
        <w:rPr>
          <w:rFonts w:hAnsi="宋体" w:cs="宋体"/>
          <w:color w:val="000000"/>
          <w:kern w:val="0"/>
        </w:rPr>
      </w:pPr>
      <w:r>
        <w:rPr>
          <w:rFonts w:hint="eastAsia" w:hAnsi="仿宋"/>
        </w:rPr>
        <w:t>⑨参加掷七米球决胜的球队须穿着统一的比赛服装。</w:t>
      </w:r>
    </w:p>
    <w:p>
      <w:pPr>
        <w:spacing w:line="560" w:lineRule="exact"/>
        <w:jc w:val="left"/>
        <w:rPr>
          <w:rFonts w:hAnsi="宋体"/>
          <w:color w:val="000000"/>
        </w:rPr>
      </w:pPr>
      <w:r>
        <w:rPr>
          <w:rFonts w:hint="eastAsia" w:hAnsi="宋体"/>
          <w:color w:val="000000"/>
        </w:rPr>
        <w:t xml:space="preserve">    （五）各队应备有深、浅两套不同颜色的比赛服装（守门员服装应与其他队员上场服装有明显颜色差别），前后均须有明显号码（胸前号码高度不少于10厘米，背后号码高度不少于20厘米），号码必须是印在或缝在服装上，不符合规定者不得上场比赛；报名时须将服装颜色及号码填写在报名表上，否则报名无效。</w:t>
      </w:r>
    </w:p>
    <w:p>
      <w:pPr>
        <w:spacing w:line="560" w:lineRule="exact"/>
        <w:ind w:firstLine="640" w:firstLineChars="200"/>
        <w:jc w:val="left"/>
        <w:rPr>
          <w:rFonts w:hAnsi="宋体"/>
          <w:color w:val="FF0000"/>
        </w:rPr>
      </w:pPr>
      <w:r>
        <w:rPr>
          <w:rFonts w:hint="eastAsia" w:hAnsi="仿宋"/>
        </w:rPr>
        <w:t>（六）每场比赛开赛前按要求时间将16人上场队员名单提交到记录台，未列入上场队员名单的替补队员不得上场参加本场比赛，不在秩序册名单内的比赛无关人员，不得进入队员席和比赛场地</w:t>
      </w:r>
      <w:r>
        <w:rPr>
          <w:rFonts w:hint="eastAsia" w:hAnsi="仿宋"/>
          <w:color w:val="000000"/>
        </w:rPr>
        <w:t>，比赛时运动员须持本人二代身份证原件参赛</w:t>
      </w:r>
      <w:r>
        <w:rPr>
          <w:rFonts w:hint="eastAsia" w:hAnsi="仿宋"/>
        </w:rPr>
        <w:t>。</w:t>
      </w:r>
    </w:p>
    <w:p>
      <w:pPr>
        <w:spacing w:line="560" w:lineRule="exact"/>
        <w:ind w:firstLine="640" w:firstLineChars="200"/>
        <w:rPr>
          <w:rFonts w:ascii="黑体" w:hAnsi="仿宋" w:eastAsia="黑体"/>
        </w:rPr>
      </w:pPr>
      <w:r>
        <w:rPr>
          <w:rFonts w:hint="eastAsia" w:ascii="黑体" w:hAnsi="仿宋" w:eastAsia="黑体" w:cs="黑体"/>
        </w:rPr>
        <w:t>九、报名办法</w:t>
      </w:r>
    </w:p>
    <w:p>
      <w:pPr>
        <w:spacing w:line="560" w:lineRule="exact"/>
        <w:ind w:firstLine="640" w:firstLineChars="200"/>
        <w:rPr>
          <w:rFonts w:hAnsi="仿宋"/>
        </w:rPr>
      </w:pPr>
      <w:r>
        <w:rPr>
          <w:rFonts w:hint="eastAsia" w:hAnsi="仿宋"/>
        </w:rPr>
        <w:t>（一）网络报名：各参赛单位于2023年5月29日至5月31日在北京市体育竞赛管理和国际交流中心官方网站(https://www.bjcac.org.cn)进行网络报名。</w:t>
      </w:r>
    </w:p>
    <w:p>
      <w:pPr>
        <w:spacing w:line="560" w:lineRule="exact"/>
        <w:ind w:firstLine="640" w:firstLineChars="200"/>
        <w:rPr>
          <w:rFonts w:hAnsi="仿宋"/>
        </w:rPr>
      </w:pPr>
      <w:r>
        <w:rPr>
          <w:rFonts w:hint="eastAsia" w:hAnsi="仿宋"/>
        </w:rPr>
        <w:t>（二）现场报名：各参赛单位于2023年6月5日至6月7日将以下材料送交至北京市体育竞赛管理和国际交流中心404室：</w:t>
      </w:r>
    </w:p>
    <w:p>
      <w:pPr>
        <w:spacing w:line="560" w:lineRule="exact"/>
        <w:ind w:firstLine="640" w:firstLineChars="200"/>
        <w:rPr>
          <w:rFonts w:hAnsi="仿宋"/>
        </w:rPr>
      </w:pPr>
      <w:r>
        <w:rPr>
          <w:rFonts w:hint="eastAsia" w:hAnsi="仿宋"/>
        </w:rPr>
        <w:t>1.加盖参赛单位公章的报名表一份；</w:t>
      </w:r>
    </w:p>
    <w:p>
      <w:pPr>
        <w:spacing w:line="560" w:lineRule="exact"/>
        <w:ind w:firstLine="640" w:firstLineChars="200"/>
        <w:rPr>
          <w:rFonts w:hAnsi="仿宋"/>
        </w:rPr>
      </w:pPr>
      <w:r>
        <w:rPr>
          <w:rFonts w:hint="eastAsia" w:hAnsi="仿宋"/>
        </w:rPr>
        <w:t>2.领队签字并加盖参赛单位公章的参赛承诺书一份；</w:t>
      </w:r>
    </w:p>
    <w:p>
      <w:pPr>
        <w:spacing w:line="560" w:lineRule="exact"/>
        <w:ind w:firstLine="640" w:firstLineChars="200"/>
        <w:rPr>
          <w:rFonts w:hAnsi="仿宋"/>
        </w:rPr>
      </w:pPr>
      <w:r>
        <w:rPr>
          <w:rFonts w:hint="eastAsia" w:hAnsi="仿宋"/>
        </w:rPr>
        <w:t>3.参赛运动员及监护人签字的运动员自愿参赛声明。</w:t>
      </w:r>
    </w:p>
    <w:p>
      <w:pPr>
        <w:spacing w:line="560" w:lineRule="exact"/>
        <w:ind w:firstLine="640" w:firstLineChars="200"/>
        <w:rPr>
          <w:rFonts w:hAnsi="仿宋"/>
          <w:color w:val="000000"/>
        </w:rPr>
      </w:pPr>
      <w:r>
        <w:rPr>
          <w:rFonts w:hint="eastAsia" w:hAnsi="仿宋"/>
          <w:color w:val="000000"/>
        </w:rPr>
        <w:t>（三）逾期未报名或未提交材料按不参赛处理，报名后不得更改，报名表无单位公章不予接收，不在报名参赛名单内的人员不得入场。</w:t>
      </w:r>
    </w:p>
    <w:p>
      <w:pPr>
        <w:spacing w:line="560" w:lineRule="exact"/>
        <w:ind w:firstLine="640" w:firstLineChars="200"/>
        <w:rPr>
          <w:rFonts w:hAnsi="仿宋"/>
          <w:color w:val="000000"/>
        </w:rPr>
      </w:pPr>
      <w:r>
        <w:rPr>
          <w:rFonts w:hint="eastAsia" w:hAnsi="仿宋"/>
          <w:color w:val="000000"/>
        </w:rPr>
        <w:t>（四）本次比赛不收取报名费。</w:t>
      </w:r>
    </w:p>
    <w:p>
      <w:pPr>
        <w:spacing w:line="560" w:lineRule="exact"/>
        <w:ind w:firstLine="640" w:firstLineChars="200"/>
        <w:rPr>
          <w:rFonts w:hAnsi="仿宋"/>
          <w:color w:val="000000"/>
        </w:rPr>
      </w:pPr>
      <w:r>
        <w:rPr>
          <w:rFonts w:hint="eastAsia" w:hAnsi="仿宋"/>
          <w:color w:val="000000"/>
        </w:rPr>
        <w:t>联系人：任利民，联系电话：63018197</w:t>
      </w:r>
    </w:p>
    <w:p>
      <w:pPr>
        <w:spacing w:line="560" w:lineRule="exact"/>
        <w:ind w:firstLine="640" w:firstLineChars="200"/>
      </w:pPr>
      <w:r>
        <w:rPr>
          <w:rFonts w:hint="eastAsia" w:hAnsi="仿宋"/>
          <w:color w:val="000000"/>
        </w:rPr>
        <w:t>电子邮箱：</w:t>
      </w:r>
      <w:r>
        <w:rPr>
          <w:rFonts w:hAnsi="仿宋"/>
          <w:color w:val="000000"/>
        </w:rPr>
        <w:t>renlimin@tyj.beijing.gov.cn</w:t>
      </w:r>
    </w:p>
    <w:p>
      <w:pPr>
        <w:spacing w:line="560" w:lineRule="exact"/>
        <w:ind w:firstLine="640" w:firstLineChars="200"/>
        <w:rPr>
          <w:rFonts w:ascii="黑体" w:hAnsi="黑体" w:eastAsia="黑体"/>
        </w:rPr>
      </w:pPr>
      <w:r>
        <w:rPr>
          <w:rFonts w:hint="eastAsia" w:ascii="黑体" w:hAnsi="黑体" w:eastAsia="黑体" w:cs="黑体"/>
        </w:rPr>
        <w:t>十、录取名次和奖励办法</w:t>
      </w:r>
    </w:p>
    <w:p>
      <w:pPr>
        <w:spacing w:line="560" w:lineRule="exact"/>
        <w:ind w:firstLine="640" w:firstLineChars="200"/>
        <w:rPr>
          <w:rFonts w:hAnsi="仿宋"/>
        </w:rPr>
      </w:pPr>
      <w:r>
        <w:rPr>
          <w:rFonts w:hint="eastAsia" w:hAnsi="仿宋"/>
        </w:rPr>
        <w:t>（一）</w:t>
      </w:r>
      <w:r>
        <w:rPr>
          <w:rFonts w:hint="eastAsia"/>
        </w:rPr>
        <w:t>录取名次按照实际到场参赛队数为准，</w:t>
      </w:r>
      <w:r>
        <w:rPr>
          <w:rFonts w:hint="eastAsia" w:hAnsi="仿宋"/>
        </w:rPr>
        <w:t>各组别录取前八名；参赛8队及以下时，递减一名录取。</w:t>
      </w:r>
    </w:p>
    <w:p>
      <w:pPr>
        <w:spacing w:line="560" w:lineRule="exact"/>
        <w:ind w:firstLine="640" w:firstLineChars="200"/>
        <w:rPr>
          <w:rFonts w:hAnsi="仿宋"/>
        </w:rPr>
      </w:pPr>
      <w:r>
        <w:rPr>
          <w:rFonts w:hint="eastAsia" w:hAnsi="仿宋"/>
        </w:rPr>
        <w:t>（二）获得各组别前三名的运动队颁发奖杯，上场比赛运动员颁发奖牌和证书；其他录取名次上场比赛运动员颁发证书。</w:t>
      </w:r>
    </w:p>
    <w:p>
      <w:pPr>
        <w:spacing w:line="560" w:lineRule="exact"/>
        <w:ind w:firstLine="640" w:firstLineChars="200"/>
        <w:rPr>
          <w:rFonts w:ascii="黑体" w:hAnsi="仿宋" w:eastAsia="黑体" w:cs="黑体"/>
        </w:rPr>
      </w:pPr>
      <w:r>
        <w:rPr>
          <w:rFonts w:hint="eastAsia" w:ascii="黑体" w:hAnsi="仿宋" w:eastAsia="黑体" w:cs="黑体"/>
        </w:rPr>
        <w:t>十</w:t>
      </w:r>
      <w:r>
        <w:rPr>
          <w:rFonts w:hint="eastAsia" w:ascii="黑体" w:hAnsi="黑体" w:eastAsia="黑体" w:cs="黑体"/>
        </w:rPr>
        <w:t>一</w:t>
      </w:r>
      <w:r>
        <w:rPr>
          <w:rFonts w:hint="eastAsia" w:ascii="黑体" w:hAnsi="仿宋" w:eastAsia="黑体" w:cs="黑体"/>
        </w:rPr>
        <w:t>、人身安全</w:t>
      </w:r>
      <w:r>
        <w:rPr>
          <w:rFonts w:hint="eastAsia" w:ascii="黑体" w:hAnsi="黑体" w:eastAsia="黑体" w:cs="黑体"/>
        </w:rPr>
        <w:t>和医疗保险</w:t>
      </w:r>
    </w:p>
    <w:p>
      <w:pPr>
        <w:spacing w:line="560" w:lineRule="exact"/>
        <w:ind w:firstLine="640" w:firstLineChars="200"/>
      </w:pPr>
      <w:r>
        <w:rPr>
          <w:rFonts w:hint="eastAsia" w:hAnsi="仿宋"/>
        </w:rPr>
        <w:t>（一）</w:t>
      </w:r>
      <w:r>
        <w:rPr>
          <w:rFonts w:hint="eastAsia"/>
        </w:rPr>
        <w:t>所有参赛人员要按照赛事主办及承办单位有关要求做好参赛各项安全保障工作。</w:t>
      </w:r>
    </w:p>
    <w:p>
      <w:pPr>
        <w:spacing w:line="520" w:lineRule="exact"/>
        <w:ind w:firstLine="640" w:firstLineChars="200"/>
      </w:pPr>
      <w:r>
        <w:rPr>
          <w:rFonts w:hint="eastAsia"/>
        </w:rPr>
        <w:t>（二）各参赛单位须为本单位所有参赛运动员、教练员购买意外伤害保险，参赛运动员、教练员应确保身体健康，其在比赛中发生的任何意外伤害、伤病等事故，主办和承办单位不承担任何责任。</w:t>
      </w:r>
    </w:p>
    <w:p>
      <w:pPr>
        <w:spacing w:line="540" w:lineRule="exact"/>
        <w:ind w:firstLine="707" w:firstLineChars="221"/>
        <w:rPr>
          <w:rFonts w:ascii="黑体" w:hAnsi="黑体" w:eastAsia="黑体" w:cs="黑体"/>
        </w:rPr>
      </w:pPr>
      <w:r>
        <w:rPr>
          <w:rFonts w:hint="eastAsia" w:ascii="黑体" w:hAnsi="黑体" w:eastAsia="黑体" w:cs="黑体"/>
        </w:rPr>
        <w:t>十二、反兴奋剂和赛风赛纪</w:t>
      </w:r>
    </w:p>
    <w:p>
      <w:pPr>
        <w:spacing w:line="560" w:lineRule="exact"/>
        <w:ind w:firstLine="640" w:firstLineChars="200"/>
      </w:pPr>
      <w:r>
        <w:t>（一）若比赛中出现兴奋剂违规行为</w:t>
      </w:r>
      <w:r>
        <w:rPr>
          <w:rFonts w:hint="eastAsia"/>
        </w:rPr>
        <w:t>，将取消运动员所获比赛成绩名次及</w:t>
      </w:r>
      <w:r>
        <w:t>奖励，并按照相关规定追加处罚</w:t>
      </w:r>
      <w:r>
        <w:rPr>
          <w:rFonts w:hint="eastAsia"/>
        </w:rPr>
        <w:t>。</w:t>
      </w:r>
    </w:p>
    <w:p>
      <w:pPr>
        <w:overflowPunct w:val="0"/>
        <w:autoSpaceDE w:val="0"/>
        <w:autoSpaceDN w:val="0"/>
        <w:adjustRightInd w:val="0"/>
        <w:spacing w:line="560" w:lineRule="exact"/>
        <w:ind w:firstLine="640" w:firstLineChars="200"/>
      </w:pPr>
      <w:r>
        <w:rPr>
          <w:rFonts w:hint="eastAsia"/>
        </w:rPr>
        <w:t>（二）</w:t>
      </w:r>
      <w:r>
        <w:t>参赛人员</w:t>
      </w:r>
      <w:r>
        <w:rPr>
          <w:rFonts w:hint="eastAsia"/>
        </w:rPr>
        <w:t>违反赛风赛纪规定，弄虚作假、冒名顶替、干扰赛场秩序、拒绝领奖、采用不正当手段获取名次者，一经查实，取消其参赛资格和成绩名次及</w:t>
      </w:r>
      <w:r>
        <w:t>奖励，并按照相关规定追加处罚。</w:t>
      </w:r>
    </w:p>
    <w:p>
      <w:pPr>
        <w:spacing w:line="540" w:lineRule="exact"/>
        <w:ind w:firstLine="640" w:firstLineChars="200"/>
        <w:rPr>
          <w:rFonts w:ascii="黑体" w:hAnsi="黑体" w:eastAsia="黑体" w:cs="黑体"/>
        </w:rPr>
      </w:pPr>
      <w:r>
        <w:rPr>
          <w:rFonts w:hint="eastAsia" w:ascii="黑体" w:hAnsi="黑体" w:eastAsia="黑体" w:cs="黑体"/>
        </w:rPr>
        <w:t>十三、仲裁委员会和裁判员</w:t>
      </w:r>
    </w:p>
    <w:p>
      <w:pPr>
        <w:spacing w:line="560" w:lineRule="exact"/>
        <w:ind w:firstLine="640" w:firstLineChars="200"/>
        <w:rPr>
          <w:rFonts w:hAnsi="仿宋"/>
        </w:rPr>
      </w:pPr>
      <w:r>
        <w:rPr>
          <w:rFonts w:hint="eastAsia" w:hAnsi="仿宋"/>
        </w:rPr>
        <w:t>（一）本次比赛设立仲裁委员会并按照国家体育总局及中国手球协会相关规定对比赛进行仲裁判定。</w:t>
      </w:r>
    </w:p>
    <w:p>
      <w:pPr>
        <w:spacing w:line="560" w:lineRule="exact"/>
        <w:ind w:firstLine="640" w:firstLineChars="200"/>
        <w:rPr>
          <w:rFonts w:hAnsi="仿宋"/>
        </w:rPr>
      </w:pPr>
      <w:r>
        <w:rPr>
          <w:rFonts w:hint="eastAsia" w:hAnsi="仿宋"/>
        </w:rPr>
        <w:t>（二）所有裁判员由市体育竞赛管理和国际交流中心商市手球运动协会统一选派。</w:t>
      </w:r>
    </w:p>
    <w:p>
      <w:pPr>
        <w:spacing w:line="560" w:lineRule="exact"/>
        <w:ind w:firstLine="640" w:firstLineChars="200"/>
        <w:jc w:val="left"/>
        <w:outlineLvl w:val="0"/>
        <w:rPr>
          <w:rFonts w:hAnsi="仿宋"/>
        </w:rPr>
      </w:pPr>
      <w:r>
        <w:rPr>
          <w:rFonts w:hint="eastAsia" w:ascii="黑体" w:hAnsi="黑体" w:eastAsia="黑体" w:cs="黑体"/>
        </w:rPr>
        <w:t>十四、本规程解释、修改权属北京市体育竞赛管理和国际交流中心，未尽事宜由承办单位另行通知。</w:t>
      </w:r>
    </w:p>
    <w:p>
      <w:pPr>
        <w:spacing w:line="460" w:lineRule="exact"/>
        <w:rPr>
          <w:rFonts w:hAnsi="仿宋" w:cs="宋体"/>
          <w:sz w:val="24"/>
        </w:rPr>
      </w:pPr>
      <w:bookmarkStart w:id="0" w:name="_GoBack"/>
      <w:bookmarkEnd w:id="0"/>
    </w:p>
    <w:sectPr>
      <w:footerReference r:id="rId3" w:type="default"/>
      <w:pgSz w:w="11906" w:h="16838"/>
      <w:pgMar w:top="567" w:right="1134" w:bottom="567" w:left="1134" w:header="851" w:footer="992" w:gutter="0"/>
      <w:pgNumType w:fmt="numberInDash"/>
      <w:cols w:space="720" w:num="1"/>
      <w:docGrid w:type="linesAndChar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5"/>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RmMmVkZThkZmZjNDk0ZWEzNzNkNWRmMDUzYmJiZDEifQ=="/>
  </w:docVars>
  <w:rsids>
    <w:rsidRoot w:val="00E670DE"/>
    <w:rsid w:val="00002A01"/>
    <w:rsid w:val="000045BD"/>
    <w:rsid w:val="00005040"/>
    <w:rsid w:val="00005FD6"/>
    <w:rsid w:val="00023869"/>
    <w:rsid w:val="00025BA8"/>
    <w:rsid w:val="00030314"/>
    <w:rsid w:val="00030485"/>
    <w:rsid w:val="00034C40"/>
    <w:rsid w:val="000414C6"/>
    <w:rsid w:val="00043683"/>
    <w:rsid w:val="000521D3"/>
    <w:rsid w:val="00052D46"/>
    <w:rsid w:val="0007762F"/>
    <w:rsid w:val="00094401"/>
    <w:rsid w:val="000C078B"/>
    <w:rsid w:val="000D4547"/>
    <w:rsid w:val="000D6058"/>
    <w:rsid w:val="000D63A6"/>
    <w:rsid w:val="000E30EC"/>
    <w:rsid w:val="000F10EB"/>
    <w:rsid w:val="000F461E"/>
    <w:rsid w:val="000F6BC2"/>
    <w:rsid w:val="00111738"/>
    <w:rsid w:val="001575FE"/>
    <w:rsid w:val="00161B5E"/>
    <w:rsid w:val="0017425F"/>
    <w:rsid w:val="00174B10"/>
    <w:rsid w:val="00175FB5"/>
    <w:rsid w:val="0019040B"/>
    <w:rsid w:val="0019240C"/>
    <w:rsid w:val="0019285B"/>
    <w:rsid w:val="00196462"/>
    <w:rsid w:val="001A499C"/>
    <w:rsid w:val="001A74F2"/>
    <w:rsid w:val="001C1B1B"/>
    <w:rsid w:val="001C5139"/>
    <w:rsid w:val="001C712F"/>
    <w:rsid w:val="001C7543"/>
    <w:rsid w:val="001E3369"/>
    <w:rsid w:val="001F0930"/>
    <w:rsid w:val="001F10B3"/>
    <w:rsid w:val="00221E89"/>
    <w:rsid w:val="002332F7"/>
    <w:rsid w:val="00247F40"/>
    <w:rsid w:val="00280979"/>
    <w:rsid w:val="00292FC7"/>
    <w:rsid w:val="002B70C8"/>
    <w:rsid w:val="002C38CE"/>
    <w:rsid w:val="002D30D4"/>
    <w:rsid w:val="002D41F6"/>
    <w:rsid w:val="002D7C9E"/>
    <w:rsid w:val="002F120E"/>
    <w:rsid w:val="002F70FF"/>
    <w:rsid w:val="002F7EED"/>
    <w:rsid w:val="00311B9F"/>
    <w:rsid w:val="003125EE"/>
    <w:rsid w:val="003305FC"/>
    <w:rsid w:val="00341D51"/>
    <w:rsid w:val="00344FF1"/>
    <w:rsid w:val="00346A2B"/>
    <w:rsid w:val="00365E72"/>
    <w:rsid w:val="00367F3D"/>
    <w:rsid w:val="003727BF"/>
    <w:rsid w:val="00374712"/>
    <w:rsid w:val="00396F85"/>
    <w:rsid w:val="003A12BF"/>
    <w:rsid w:val="003A348A"/>
    <w:rsid w:val="003A61A0"/>
    <w:rsid w:val="003B05E3"/>
    <w:rsid w:val="003B7CBD"/>
    <w:rsid w:val="003C1478"/>
    <w:rsid w:val="003C309E"/>
    <w:rsid w:val="003D433B"/>
    <w:rsid w:val="003E44A4"/>
    <w:rsid w:val="003F1B6E"/>
    <w:rsid w:val="003F65B0"/>
    <w:rsid w:val="00425ECB"/>
    <w:rsid w:val="0043294D"/>
    <w:rsid w:val="004512DD"/>
    <w:rsid w:val="00455903"/>
    <w:rsid w:val="00456953"/>
    <w:rsid w:val="00460885"/>
    <w:rsid w:val="0046299E"/>
    <w:rsid w:val="00466331"/>
    <w:rsid w:val="004775E1"/>
    <w:rsid w:val="00480533"/>
    <w:rsid w:val="00486A8F"/>
    <w:rsid w:val="00493E45"/>
    <w:rsid w:val="004B1275"/>
    <w:rsid w:val="004B29C1"/>
    <w:rsid w:val="004B7A4E"/>
    <w:rsid w:val="004C4936"/>
    <w:rsid w:val="004D4092"/>
    <w:rsid w:val="004D5122"/>
    <w:rsid w:val="004E10A9"/>
    <w:rsid w:val="004E7841"/>
    <w:rsid w:val="004F63F7"/>
    <w:rsid w:val="004F7449"/>
    <w:rsid w:val="00510B0B"/>
    <w:rsid w:val="00523A31"/>
    <w:rsid w:val="0053310D"/>
    <w:rsid w:val="00534C8C"/>
    <w:rsid w:val="00535746"/>
    <w:rsid w:val="00571F8D"/>
    <w:rsid w:val="00573333"/>
    <w:rsid w:val="00576C52"/>
    <w:rsid w:val="00581BFB"/>
    <w:rsid w:val="005822A5"/>
    <w:rsid w:val="005904F8"/>
    <w:rsid w:val="005B4224"/>
    <w:rsid w:val="005B73DF"/>
    <w:rsid w:val="005C2ACF"/>
    <w:rsid w:val="005D7022"/>
    <w:rsid w:val="005D7E2A"/>
    <w:rsid w:val="005E1D9D"/>
    <w:rsid w:val="00611794"/>
    <w:rsid w:val="0061362E"/>
    <w:rsid w:val="00622AEE"/>
    <w:rsid w:val="00626C52"/>
    <w:rsid w:val="00633E8A"/>
    <w:rsid w:val="00643C66"/>
    <w:rsid w:val="00651A25"/>
    <w:rsid w:val="00664B5B"/>
    <w:rsid w:val="006768A1"/>
    <w:rsid w:val="00677C81"/>
    <w:rsid w:val="006829C1"/>
    <w:rsid w:val="00684A73"/>
    <w:rsid w:val="00684B56"/>
    <w:rsid w:val="006A05DA"/>
    <w:rsid w:val="006A6990"/>
    <w:rsid w:val="006C4A88"/>
    <w:rsid w:val="006D0CBA"/>
    <w:rsid w:val="006D22EA"/>
    <w:rsid w:val="006E243F"/>
    <w:rsid w:val="007002C7"/>
    <w:rsid w:val="00707D2E"/>
    <w:rsid w:val="0071236F"/>
    <w:rsid w:val="00714FE6"/>
    <w:rsid w:val="00716970"/>
    <w:rsid w:val="007233E6"/>
    <w:rsid w:val="00742477"/>
    <w:rsid w:val="00756164"/>
    <w:rsid w:val="007611DB"/>
    <w:rsid w:val="007641E3"/>
    <w:rsid w:val="0076556A"/>
    <w:rsid w:val="00785041"/>
    <w:rsid w:val="0079524E"/>
    <w:rsid w:val="007C6696"/>
    <w:rsid w:val="007E74CD"/>
    <w:rsid w:val="007F5FD4"/>
    <w:rsid w:val="0080377F"/>
    <w:rsid w:val="008048E6"/>
    <w:rsid w:val="00816286"/>
    <w:rsid w:val="00821313"/>
    <w:rsid w:val="0082341B"/>
    <w:rsid w:val="00845D52"/>
    <w:rsid w:val="008745FB"/>
    <w:rsid w:val="00882C6E"/>
    <w:rsid w:val="0089109D"/>
    <w:rsid w:val="00891CD5"/>
    <w:rsid w:val="008A5539"/>
    <w:rsid w:val="008B3111"/>
    <w:rsid w:val="008B65FA"/>
    <w:rsid w:val="00905043"/>
    <w:rsid w:val="009176EA"/>
    <w:rsid w:val="00921769"/>
    <w:rsid w:val="00922F17"/>
    <w:rsid w:val="00925D9A"/>
    <w:rsid w:val="00931B12"/>
    <w:rsid w:val="00941176"/>
    <w:rsid w:val="009602A4"/>
    <w:rsid w:val="00966085"/>
    <w:rsid w:val="00970DF1"/>
    <w:rsid w:val="00971885"/>
    <w:rsid w:val="00974E1C"/>
    <w:rsid w:val="00986426"/>
    <w:rsid w:val="00990D4F"/>
    <w:rsid w:val="009A2EF3"/>
    <w:rsid w:val="009B00B2"/>
    <w:rsid w:val="009B4E29"/>
    <w:rsid w:val="009B5386"/>
    <w:rsid w:val="009D08CA"/>
    <w:rsid w:val="009D5BFD"/>
    <w:rsid w:val="009E075E"/>
    <w:rsid w:val="009E301F"/>
    <w:rsid w:val="009F4D1F"/>
    <w:rsid w:val="00A12F83"/>
    <w:rsid w:val="00A3062C"/>
    <w:rsid w:val="00A40259"/>
    <w:rsid w:val="00A428D8"/>
    <w:rsid w:val="00A6309F"/>
    <w:rsid w:val="00A65958"/>
    <w:rsid w:val="00A66E4B"/>
    <w:rsid w:val="00A83E04"/>
    <w:rsid w:val="00A8626C"/>
    <w:rsid w:val="00A9028A"/>
    <w:rsid w:val="00A929A4"/>
    <w:rsid w:val="00AA522B"/>
    <w:rsid w:val="00AA6F99"/>
    <w:rsid w:val="00AB1040"/>
    <w:rsid w:val="00AB527E"/>
    <w:rsid w:val="00AD44C4"/>
    <w:rsid w:val="00AE1580"/>
    <w:rsid w:val="00AE18B2"/>
    <w:rsid w:val="00AE331D"/>
    <w:rsid w:val="00B03E02"/>
    <w:rsid w:val="00B20DBC"/>
    <w:rsid w:val="00B31959"/>
    <w:rsid w:val="00B44596"/>
    <w:rsid w:val="00B51316"/>
    <w:rsid w:val="00B51822"/>
    <w:rsid w:val="00B71EB6"/>
    <w:rsid w:val="00B73640"/>
    <w:rsid w:val="00B8008F"/>
    <w:rsid w:val="00B8014C"/>
    <w:rsid w:val="00B87820"/>
    <w:rsid w:val="00B933D3"/>
    <w:rsid w:val="00BA212E"/>
    <w:rsid w:val="00BB2DD9"/>
    <w:rsid w:val="00BC1DE4"/>
    <w:rsid w:val="00BC34AD"/>
    <w:rsid w:val="00BD1057"/>
    <w:rsid w:val="00BE2CCE"/>
    <w:rsid w:val="00BE2CEB"/>
    <w:rsid w:val="00BE59D1"/>
    <w:rsid w:val="00BF61B4"/>
    <w:rsid w:val="00C12782"/>
    <w:rsid w:val="00C250A1"/>
    <w:rsid w:val="00C32DD8"/>
    <w:rsid w:val="00C52456"/>
    <w:rsid w:val="00C52B9F"/>
    <w:rsid w:val="00C537AD"/>
    <w:rsid w:val="00C6091F"/>
    <w:rsid w:val="00C64BB0"/>
    <w:rsid w:val="00C91757"/>
    <w:rsid w:val="00C95AD4"/>
    <w:rsid w:val="00C96620"/>
    <w:rsid w:val="00CA46C6"/>
    <w:rsid w:val="00CC0784"/>
    <w:rsid w:val="00CC2A67"/>
    <w:rsid w:val="00CC39A4"/>
    <w:rsid w:val="00CD3714"/>
    <w:rsid w:val="00CE1C68"/>
    <w:rsid w:val="00CF5A66"/>
    <w:rsid w:val="00D012B1"/>
    <w:rsid w:val="00D1277D"/>
    <w:rsid w:val="00D23301"/>
    <w:rsid w:val="00D246F9"/>
    <w:rsid w:val="00D269CA"/>
    <w:rsid w:val="00D45E94"/>
    <w:rsid w:val="00D47FF2"/>
    <w:rsid w:val="00D53EEE"/>
    <w:rsid w:val="00D62FF2"/>
    <w:rsid w:val="00D86CEF"/>
    <w:rsid w:val="00DA7993"/>
    <w:rsid w:val="00DC1E0C"/>
    <w:rsid w:val="00DC5DF5"/>
    <w:rsid w:val="00DD0595"/>
    <w:rsid w:val="00E035DE"/>
    <w:rsid w:val="00E03747"/>
    <w:rsid w:val="00E167DB"/>
    <w:rsid w:val="00E20B99"/>
    <w:rsid w:val="00E25A6C"/>
    <w:rsid w:val="00E52ED6"/>
    <w:rsid w:val="00E618BE"/>
    <w:rsid w:val="00E663DE"/>
    <w:rsid w:val="00E670DE"/>
    <w:rsid w:val="00E739B5"/>
    <w:rsid w:val="00E805AB"/>
    <w:rsid w:val="00E822A6"/>
    <w:rsid w:val="00E9073A"/>
    <w:rsid w:val="00EA00DB"/>
    <w:rsid w:val="00EA2500"/>
    <w:rsid w:val="00EA512A"/>
    <w:rsid w:val="00EB1A2A"/>
    <w:rsid w:val="00EB22B8"/>
    <w:rsid w:val="00EC0927"/>
    <w:rsid w:val="00EC41FF"/>
    <w:rsid w:val="00EC6676"/>
    <w:rsid w:val="00ED5154"/>
    <w:rsid w:val="00EE2DFA"/>
    <w:rsid w:val="00F071F8"/>
    <w:rsid w:val="00F1672B"/>
    <w:rsid w:val="00F16808"/>
    <w:rsid w:val="00F21CE2"/>
    <w:rsid w:val="00F46E57"/>
    <w:rsid w:val="00F50B35"/>
    <w:rsid w:val="00F5332D"/>
    <w:rsid w:val="00F64DC3"/>
    <w:rsid w:val="00F7140B"/>
    <w:rsid w:val="00F830B3"/>
    <w:rsid w:val="00F83389"/>
    <w:rsid w:val="00F85C42"/>
    <w:rsid w:val="00F87225"/>
    <w:rsid w:val="00F9250F"/>
    <w:rsid w:val="00FA2CF6"/>
    <w:rsid w:val="00FA54BB"/>
    <w:rsid w:val="00FB58A9"/>
    <w:rsid w:val="00FB59A5"/>
    <w:rsid w:val="00FC092B"/>
    <w:rsid w:val="00FD4952"/>
    <w:rsid w:val="00FE1B9E"/>
    <w:rsid w:val="00FF59C0"/>
    <w:rsid w:val="00FF66D1"/>
    <w:rsid w:val="00FF7930"/>
    <w:rsid w:val="0F287139"/>
    <w:rsid w:val="118E0AC0"/>
    <w:rsid w:val="14EE187D"/>
    <w:rsid w:val="1E6F3A27"/>
    <w:rsid w:val="24A51C47"/>
    <w:rsid w:val="26660B73"/>
    <w:rsid w:val="49631144"/>
    <w:rsid w:val="5DED03BC"/>
    <w:rsid w:val="670E0185"/>
    <w:rsid w:val="6CFD6D97"/>
    <w:rsid w:val="74414D7D"/>
    <w:rsid w:val="75F86B55"/>
    <w:rsid w:val="798D6E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99"/>
    <w:pPr>
      <w:jc w:val="left"/>
    </w:pPr>
    <w:rPr>
      <w:rFonts w:ascii="Times New Roman" w:eastAsia="宋体" w:cs="Times New Roman"/>
      <w:sz w:val="21"/>
      <w:szCs w:val="21"/>
    </w:rPr>
  </w:style>
  <w:style w:type="paragraph" w:styleId="3">
    <w:name w:val="Date"/>
    <w:basedOn w:val="1"/>
    <w:next w:val="1"/>
    <w:link w:val="13"/>
    <w:uiPriority w:val="0"/>
    <w:pPr>
      <w:ind w:left="100" w:leftChars="2500"/>
    </w:pPr>
    <w:rPr>
      <w:rFonts w:cs="Times New Roman"/>
    </w:rPr>
  </w:style>
  <w:style w:type="paragraph" w:styleId="4">
    <w:name w:val="Balloon Text"/>
    <w:basedOn w:val="1"/>
    <w:link w:val="14"/>
    <w:uiPriority w:val="0"/>
    <w:rPr>
      <w:rFonts w:cs="Times New Roman"/>
      <w:sz w:val="18"/>
      <w:szCs w:val="18"/>
    </w:rPr>
  </w:style>
  <w:style w:type="paragraph" w:styleId="5">
    <w:name w:val="footer"/>
    <w:basedOn w:val="1"/>
    <w:link w:val="15"/>
    <w:qFormat/>
    <w:uiPriority w:val="99"/>
    <w:pPr>
      <w:tabs>
        <w:tab w:val="center" w:pos="4153"/>
        <w:tab w:val="right" w:pos="8306"/>
      </w:tabs>
      <w:snapToGrid w:val="0"/>
      <w:jc w:val="left"/>
    </w:pPr>
    <w:rPr>
      <w:rFonts w:cs="Times New Roman"/>
      <w:sz w:val="18"/>
      <w:szCs w:val="18"/>
    </w:rPr>
  </w:style>
  <w:style w:type="paragraph" w:styleId="6">
    <w:name w:val="header"/>
    <w:basedOn w:val="1"/>
    <w:link w:val="16"/>
    <w:qFormat/>
    <w:uiPriority w:val="99"/>
    <w:pPr>
      <w:pBdr>
        <w:bottom w:val="single" w:color="auto" w:sz="6" w:space="1"/>
      </w:pBdr>
      <w:tabs>
        <w:tab w:val="center" w:pos="4153"/>
        <w:tab w:val="right" w:pos="8306"/>
      </w:tabs>
      <w:snapToGrid w:val="0"/>
      <w:jc w:val="center"/>
    </w:pPr>
    <w:rPr>
      <w:rFonts w:cs="Times New Roman"/>
      <w:sz w:val="18"/>
      <w:szCs w:val="18"/>
    </w:rPr>
  </w:style>
  <w:style w:type="paragraph" w:styleId="7">
    <w:name w:val="List"/>
    <w:basedOn w:val="1"/>
    <w:qFormat/>
    <w:uiPriority w:val="99"/>
    <w:pPr>
      <w:ind w:left="200" w:hanging="200" w:hangingChars="200"/>
      <w:contextualSpacing/>
    </w:pPr>
    <w:rPr>
      <w:rFonts w:ascii="Calibri" w:hAnsi="Calibri" w:eastAsia="方正仿宋简体" w:cs="Calibri"/>
      <w:szCs w:val="22"/>
    </w:rPr>
  </w:style>
  <w:style w:type="character" w:styleId="10">
    <w:name w:val="Hyperlink"/>
    <w:unhideWhenUsed/>
    <w:qFormat/>
    <w:uiPriority w:val="0"/>
    <w:rPr>
      <w:u w:val="single"/>
    </w:rPr>
  </w:style>
  <w:style w:type="character" w:styleId="11">
    <w:name w:val="annotation reference"/>
    <w:unhideWhenUsed/>
    <w:qFormat/>
    <w:uiPriority w:val="0"/>
    <w:rPr>
      <w:sz w:val="21"/>
      <w:szCs w:val="21"/>
    </w:rPr>
  </w:style>
  <w:style w:type="character" w:customStyle="1" w:styleId="12">
    <w:name w:val="批注文字 Char"/>
    <w:link w:val="2"/>
    <w:qFormat/>
    <w:uiPriority w:val="99"/>
    <w:rPr>
      <w:rFonts w:cs="Calibri"/>
      <w:kern w:val="2"/>
      <w:sz w:val="21"/>
      <w:szCs w:val="21"/>
    </w:rPr>
  </w:style>
  <w:style w:type="character" w:customStyle="1" w:styleId="13">
    <w:name w:val="日期 Char"/>
    <w:link w:val="3"/>
    <w:qFormat/>
    <w:uiPriority w:val="0"/>
    <w:rPr>
      <w:rFonts w:ascii="仿宋_GB2312" w:eastAsia="仿宋_GB2312" w:cs="仿宋_GB2312"/>
      <w:kern w:val="2"/>
      <w:sz w:val="32"/>
      <w:szCs w:val="32"/>
    </w:rPr>
  </w:style>
  <w:style w:type="character" w:customStyle="1" w:styleId="14">
    <w:name w:val="批注框文本 Char"/>
    <w:link w:val="4"/>
    <w:qFormat/>
    <w:uiPriority w:val="0"/>
    <w:rPr>
      <w:rFonts w:ascii="仿宋_GB2312" w:eastAsia="仿宋_GB2312" w:cs="仿宋_GB2312"/>
      <w:kern w:val="2"/>
      <w:sz w:val="18"/>
      <w:szCs w:val="18"/>
    </w:rPr>
  </w:style>
  <w:style w:type="character" w:customStyle="1" w:styleId="15">
    <w:name w:val="页脚 Char"/>
    <w:link w:val="5"/>
    <w:qFormat/>
    <w:uiPriority w:val="99"/>
    <w:rPr>
      <w:rFonts w:ascii="仿宋_GB2312" w:eastAsia="仿宋_GB2312" w:cs="仿宋_GB2312"/>
      <w:kern w:val="2"/>
      <w:sz w:val="18"/>
      <w:szCs w:val="18"/>
    </w:rPr>
  </w:style>
  <w:style w:type="character" w:customStyle="1" w:styleId="16">
    <w:name w:val="页眉 Char"/>
    <w:link w:val="6"/>
    <w:qFormat/>
    <w:uiPriority w:val="99"/>
    <w:rPr>
      <w:rFonts w:ascii="仿宋_GB2312" w:eastAsia="仿宋_GB2312" w:cs="仿宋_GB2312"/>
      <w:kern w:val="2"/>
      <w:sz w:val="18"/>
      <w:szCs w:val="18"/>
    </w:rPr>
  </w:style>
  <w:style w:type="paragraph" w:customStyle="1" w:styleId="17">
    <w:name w:val="Char Char"/>
    <w:basedOn w:val="1"/>
    <w:qFormat/>
    <w:uiPriority w:val="0"/>
    <w:pPr>
      <w:widowControl/>
      <w:spacing w:after="160" w:line="240" w:lineRule="exact"/>
      <w:jc w:val="left"/>
    </w:pPr>
    <w:rPr>
      <w:rFonts w:ascii="Verdana" w:hAnsi="Verdana" w:cs="Times New Roman"/>
      <w:kern w:val="0"/>
      <w:sz w:val="24"/>
      <w:szCs w:val="20"/>
      <w:lang w:eastAsia="en-US"/>
    </w:rPr>
  </w:style>
  <w:style w:type="paragraph" w:customStyle="1" w:styleId="18">
    <w:name w:val="列表段落"/>
    <w:basedOn w:val="1"/>
    <w:qFormat/>
    <w:uiPriority w:val="34"/>
    <w:pPr>
      <w:ind w:firstLine="420" w:firstLineChars="200"/>
    </w:pPr>
  </w:style>
  <w:style w:type="character" w:customStyle="1" w:styleId="19">
    <w:name w:val="批注文字 字符"/>
    <w:qFormat/>
    <w:uiPriority w:val="0"/>
    <w:rPr>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0</Words>
  <Characters>0</Characters>
  <Lines>52</Lines>
  <Paragraphs>14</Paragraphs>
  <TotalTime>0</TotalTime>
  <ScaleCrop>false</ScaleCrop>
  <LinksUpToDate>false</LinksUpToDate>
  <CharactersWithSpaces>0</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2023-04-06T07:11:00Z</dcterms:created>
  <dc:creator>user</dc:creator>
  <cp:lastModifiedBy>匿名用户</cp:lastModifiedBy>
  <cp:lastPrinted>2023-04-06T07:51:00Z</cp:lastPrinted>
  <dcterms:modified xsi:type="dcterms:W3CDTF">2023-04-10T01:47:52Z</dcterms:modified>
  <dc:title>2014年北京市业余体校举重冠军赛</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8279E89DB0C84AE298537E3DD58DDAC6</vt:lpwstr>
  </property>
</Properties>
</file>