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6D24" w:rsidRPr="00EB6D24" w:rsidRDefault="00EB6D24" w:rsidP="00EB6D24">
      <w:pPr>
        <w:widowControl/>
        <w:jc w:val="left"/>
        <w:rPr>
          <w:rFonts w:ascii="仿宋" w:eastAsia="仿宋" w:hAnsi="仿宋" w:cs="Arial" w:hint="eastAsia"/>
          <w:color w:val="000000"/>
          <w:kern w:val="0"/>
          <w:sz w:val="32"/>
          <w:szCs w:val="32"/>
        </w:rPr>
      </w:pPr>
      <w:r w:rsidRPr="00EB6D24">
        <w:rPr>
          <w:rFonts w:ascii="仿宋" w:eastAsia="仿宋" w:hAnsi="仿宋" w:cs="Arial" w:hint="eastAsia"/>
          <w:color w:val="000000"/>
          <w:kern w:val="0"/>
          <w:sz w:val="32"/>
          <w:szCs w:val="32"/>
        </w:rPr>
        <w:t>附件</w:t>
      </w:r>
      <w:r w:rsidRPr="00EB6D24">
        <w:rPr>
          <w:rFonts w:ascii="仿宋" w:eastAsia="仿宋" w:hAnsi="仿宋" w:cs="Arial"/>
          <w:color w:val="000000"/>
          <w:kern w:val="0"/>
          <w:sz w:val="32"/>
          <w:szCs w:val="32"/>
        </w:rPr>
        <w:t>：</w:t>
      </w:r>
    </w:p>
    <w:p w:rsidR="00EB6D24" w:rsidRDefault="00EB6D24" w:rsidP="00EB6D24">
      <w:pPr>
        <w:widowControl/>
        <w:jc w:val="center"/>
        <w:rPr>
          <w:rFonts w:asciiTheme="majorEastAsia" w:eastAsiaTheme="majorEastAsia" w:hAnsiTheme="majorEastAsia" w:cs="Arial"/>
          <w:bCs/>
          <w:color w:val="000000"/>
          <w:kern w:val="0"/>
          <w:sz w:val="44"/>
          <w:szCs w:val="44"/>
        </w:rPr>
      </w:pPr>
    </w:p>
    <w:p w:rsidR="00EB6D24" w:rsidRPr="00EB6D24" w:rsidRDefault="00EB6D24" w:rsidP="00EB6D24">
      <w:pPr>
        <w:widowControl/>
        <w:jc w:val="center"/>
        <w:rPr>
          <w:rFonts w:asciiTheme="majorEastAsia" w:eastAsiaTheme="majorEastAsia" w:hAnsiTheme="majorEastAsia" w:cs="Arial"/>
          <w:bCs/>
          <w:color w:val="000000"/>
          <w:kern w:val="0"/>
          <w:sz w:val="44"/>
          <w:szCs w:val="44"/>
        </w:rPr>
      </w:pPr>
      <w:r w:rsidRPr="00EB6D24">
        <w:rPr>
          <w:rFonts w:asciiTheme="majorEastAsia" w:eastAsiaTheme="majorEastAsia" w:hAnsiTheme="majorEastAsia" w:cs="Arial"/>
          <w:bCs/>
          <w:color w:val="000000"/>
          <w:kern w:val="0"/>
          <w:sz w:val="44"/>
          <w:szCs w:val="44"/>
        </w:rPr>
        <w:t>人力资源社会保障部财政部关于修订印发《资产评估师职业资格制度暂行规定》和《资产评估师职业资格考试实施办法》的通知</w:t>
      </w:r>
    </w:p>
    <w:p w:rsidR="00EB6D24" w:rsidRPr="00EB6D24" w:rsidRDefault="00EB6D24" w:rsidP="00EB6D24">
      <w:pPr>
        <w:widowControl/>
        <w:jc w:val="center"/>
        <w:rPr>
          <w:rFonts w:ascii="仿宋" w:eastAsia="仿宋" w:hAnsi="仿宋" w:cs="Arial"/>
          <w:color w:val="000000"/>
          <w:kern w:val="0"/>
          <w:sz w:val="32"/>
          <w:szCs w:val="32"/>
        </w:rPr>
      </w:pPr>
      <w:r w:rsidRPr="00EB6D24">
        <w:rPr>
          <w:rFonts w:ascii="仿宋" w:eastAsia="仿宋" w:hAnsi="仿宋" w:cs="Arial" w:hint="eastAsia"/>
          <w:color w:val="000000"/>
          <w:kern w:val="0"/>
          <w:sz w:val="32"/>
          <w:szCs w:val="32"/>
        </w:rPr>
        <w:t>人社部规〔2017〕7号</w:t>
      </w:r>
    </w:p>
    <w:p w:rsidR="00EB6D24" w:rsidRPr="00EB6D24" w:rsidRDefault="00EB6D24" w:rsidP="00EB6D24">
      <w:pPr>
        <w:widowControl/>
        <w:jc w:val="left"/>
        <w:rPr>
          <w:rFonts w:ascii="仿宋" w:eastAsia="仿宋" w:hAnsi="仿宋" w:cs="Arial" w:hint="eastAsia"/>
          <w:color w:val="000000"/>
          <w:kern w:val="0"/>
          <w:sz w:val="32"/>
          <w:szCs w:val="32"/>
        </w:rPr>
      </w:pPr>
    </w:p>
    <w:p w:rsidR="00EB6D24" w:rsidRPr="00EB6D24" w:rsidRDefault="00EB6D24" w:rsidP="00EB6D24">
      <w:pPr>
        <w:widowControl/>
        <w:jc w:val="left"/>
        <w:rPr>
          <w:rFonts w:ascii="仿宋" w:eastAsia="仿宋" w:hAnsi="仿宋" w:cs="Arial" w:hint="eastAsia"/>
          <w:color w:val="000000"/>
          <w:kern w:val="0"/>
          <w:sz w:val="32"/>
          <w:szCs w:val="32"/>
        </w:rPr>
      </w:pPr>
      <w:r w:rsidRPr="00EB6D24">
        <w:rPr>
          <w:rFonts w:ascii="仿宋" w:eastAsia="仿宋" w:hAnsi="仿宋" w:cs="Arial" w:hint="eastAsia"/>
          <w:color w:val="000000"/>
          <w:kern w:val="0"/>
          <w:sz w:val="32"/>
          <w:szCs w:val="32"/>
        </w:rPr>
        <w:t>各省、自治区、直辖市及新疆生产建设兵团人力资源社会保障厅（局）、财政厅（局），国</w:t>
      </w:r>
      <w:bookmarkStart w:id="0" w:name="_GoBack"/>
      <w:bookmarkEnd w:id="0"/>
      <w:r w:rsidRPr="00EB6D24">
        <w:rPr>
          <w:rFonts w:ascii="仿宋" w:eastAsia="仿宋" w:hAnsi="仿宋" w:cs="Arial" w:hint="eastAsia"/>
          <w:color w:val="000000"/>
          <w:kern w:val="0"/>
          <w:sz w:val="32"/>
          <w:szCs w:val="32"/>
        </w:rPr>
        <w:t>务院各部委、各直属机构人事部门，中央管理的企业：</w:t>
      </w:r>
    </w:p>
    <w:p w:rsidR="00EB6D24" w:rsidRPr="00EB6D24" w:rsidRDefault="00EB6D24" w:rsidP="00EB6D24">
      <w:pPr>
        <w:widowControl/>
        <w:jc w:val="left"/>
        <w:rPr>
          <w:rFonts w:ascii="仿宋" w:eastAsia="仿宋" w:hAnsi="仿宋" w:cs="Arial" w:hint="eastAsia"/>
          <w:color w:val="000000"/>
          <w:kern w:val="0"/>
          <w:sz w:val="32"/>
          <w:szCs w:val="32"/>
        </w:rPr>
      </w:pPr>
      <w:r w:rsidRPr="00EB6D24">
        <w:rPr>
          <w:rFonts w:ascii="仿宋" w:eastAsia="仿宋" w:hAnsi="仿宋" w:cs="Arial" w:hint="eastAsia"/>
          <w:color w:val="000000"/>
          <w:kern w:val="0"/>
          <w:sz w:val="32"/>
          <w:szCs w:val="32"/>
        </w:rPr>
        <w:t xml:space="preserve">　 </w:t>
      </w:r>
      <w:r w:rsidRPr="00EB6D24">
        <w:rPr>
          <w:rFonts w:ascii="Calibri" w:eastAsia="仿宋" w:hAnsi="Calibri" w:cs="Calibri"/>
          <w:color w:val="000000"/>
          <w:kern w:val="0"/>
          <w:sz w:val="32"/>
          <w:szCs w:val="32"/>
        </w:rPr>
        <w:t> </w:t>
      </w:r>
      <w:r w:rsidRPr="00EB6D24">
        <w:rPr>
          <w:rFonts w:ascii="仿宋" w:eastAsia="仿宋" w:hAnsi="仿宋" w:cs="Arial" w:hint="eastAsia"/>
          <w:color w:val="000000"/>
          <w:kern w:val="0"/>
          <w:sz w:val="32"/>
          <w:szCs w:val="32"/>
        </w:rPr>
        <w:t>根据《中华人民共和国资产评估法》要求，为加强资产评估专业人员队伍建设，适应资产评估行业发展，在总结资产评估师职业资格制度实施情况的基础上，人力资源社会保障部、财政部修订了《资产评估师职业资格制度暂行规定》和《资产评估师职业资格考试实施办法》，现印发给你们，请遵照执行。</w:t>
      </w:r>
    </w:p>
    <w:p w:rsidR="00EB6D24" w:rsidRPr="00EB6D24" w:rsidRDefault="00EB6D24" w:rsidP="00EB6D24">
      <w:pPr>
        <w:widowControl/>
        <w:jc w:val="left"/>
        <w:rPr>
          <w:rFonts w:ascii="仿宋" w:eastAsia="仿宋" w:hAnsi="仿宋" w:cs="Arial" w:hint="eastAsia"/>
          <w:color w:val="000000"/>
          <w:kern w:val="0"/>
          <w:sz w:val="32"/>
          <w:szCs w:val="32"/>
        </w:rPr>
      </w:pPr>
      <w:r w:rsidRPr="00EB6D24">
        <w:rPr>
          <w:rFonts w:ascii="仿宋" w:eastAsia="仿宋" w:hAnsi="仿宋" w:cs="Arial" w:hint="eastAsia"/>
          <w:color w:val="000000"/>
          <w:kern w:val="0"/>
          <w:sz w:val="32"/>
          <w:szCs w:val="32"/>
        </w:rPr>
        <w:t xml:space="preserve">　　自本通知施行之日起，《人力资源社会保障部 财政部关于印发资产评估师职业资格制度暂行规定和资产评估师职业资格考试实施办法的通知》（人社部发〔2015〕43号）同时废止。</w:t>
      </w:r>
    </w:p>
    <w:p w:rsidR="00EB6D24" w:rsidRPr="00EB6D24" w:rsidRDefault="00EB6D24" w:rsidP="00EB6D24">
      <w:pPr>
        <w:widowControl/>
        <w:jc w:val="left"/>
        <w:rPr>
          <w:rFonts w:ascii="仿宋" w:eastAsia="仿宋" w:hAnsi="仿宋" w:cs="Arial" w:hint="eastAsia"/>
          <w:color w:val="000000"/>
          <w:kern w:val="0"/>
          <w:sz w:val="32"/>
          <w:szCs w:val="32"/>
        </w:rPr>
      </w:pPr>
    </w:p>
    <w:p w:rsidR="00EB6D24" w:rsidRPr="00EB6D24" w:rsidRDefault="00EB6D24" w:rsidP="00EB6D24">
      <w:pPr>
        <w:widowControl/>
        <w:jc w:val="right"/>
        <w:rPr>
          <w:rFonts w:ascii="仿宋" w:eastAsia="仿宋" w:hAnsi="仿宋" w:cs="Arial" w:hint="eastAsia"/>
          <w:color w:val="000000"/>
          <w:kern w:val="0"/>
          <w:sz w:val="32"/>
          <w:szCs w:val="32"/>
        </w:rPr>
      </w:pPr>
      <w:r w:rsidRPr="00EB6D24">
        <w:rPr>
          <w:rFonts w:ascii="仿宋" w:eastAsia="仿宋" w:hAnsi="仿宋" w:cs="Arial" w:hint="eastAsia"/>
          <w:color w:val="000000"/>
          <w:kern w:val="0"/>
          <w:sz w:val="32"/>
          <w:szCs w:val="32"/>
        </w:rPr>
        <w:lastRenderedPageBreak/>
        <w:t>人力资源社会保障部</w:t>
      </w:r>
    </w:p>
    <w:p w:rsidR="00EB6D24" w:rsidRPr="00EB6D24" w:rsidRDefault="00EB6D24" w:rsidP="00EB6D24">
      <w:pPr>
        <w:widowControl/>
        <w:jc w:val="right"/>
        <w:rPr>
          <w:rFonts w:ascii="仿宋" w:eastAsia="仿宋" w:hAnsi="仿宋" w:cs="Arial" w:hint="eastAsia"/>
          <w:color w:val="000000"/>
          <w:kern w:val="0"/>
          <w:sz w:val="32"/>
          <w:szCs w:val="32"/>
        </w:rPr>
      </w:pPr>
      <w:r w:rsidRPr="00EB6D24">
        <w:rPr>
          <w:rFonts w:ascii="仿宋" w:eastAsia="仿宋" w:hAnsi="仿宋" w:cs="Arial" w:hint="eastAsia"/>
          <w:color w:val="000000"/>
          <w:kern w:val="0"/>
          <w:sz w:val="32"/>
          <w:szCs w:val="32"/>
        </w:rPr>
        <w:t>财政部</w:t>
      </w:r>
    </w:p>
    <w:p w:rsidR="00EB6D24" w:rsidRPr="00EB6D24" w:rsidRDefault="00EB6D24" w:rsidP="00EB6D24">
      <w:pPr>
        <w:widowControl/>
        <w:jc w:val="right"/>
        <w:rPr>
          <w:rFonts w:ascii="仿宋" w:eastAsia="仿宋" w:hAnsi="仿宋" w:cs="Arial" w:hint="eastAsia"/>
          <w:color w:val="000000"/>
          <w:kern w:val="0"/>
          <w:sz w:val="32"/>
          <w:szCs w:val="32"/>
        </w:rPr>
      </w:pPr>
      <w:r w:rsidRPr="00EB6D24">
        <w:rPr>
          <w:rFonts w:ascii="仿宋" w:eastAsia="仿宋" w:hAnsi="仿宋" w:cs="Arial" w:hint="eastAsia"/>
          <w:color w:val="000000"/>
          <w:kern w:val="0"/>
          <w:sz w:val="32"/>
          <w:szCs w:val="32"/>
        </w:rPr>
        <w:t>2017年5月23日</w:t>
      </w:r>
    </w:p>
    <w:p w:rsidR="00EB6D24" w:rsidRPr="00EB6D24" w:rsidRDefault="00EB6D24" w:rsidP="00EB6D24">
      <w:pPr>
        <w:widowControl/>
        <w:jc w:val="left"/>
        <w:rPr>
          <w:rFonts w:ascii="仿宋" w:eastAsia="仿宋" w:hAnsi="仿宋" w:cs="Arial" w:hint="eastAsia"/>
          <w:color w:val="000000"/>
          <w:kern w:val="0"/>
          <w:sz w:val="32"/>
          <w:szCs w:val="32"/>
        </w:rPr>
      </w:pPr>
    </w:p>
    <w:p w:rsidR="00EB6D24" w:rsidRPr="00EB6D24" w:rsidRDefault="00EB6D24" w:rsidP="00EB6D24">
      <w:pPr>
        <w:widowControl/>
        <w:jc w:val="center"/>
        <w:rPr>
          <w:rFonts w:ascii="仿宋" w:eastAsia="仿宋" w:hAnsi="仿宋" w:cs="Arial" w:hint="eastAsia"/>
          <w:color w:val="000000"/>
          <w:kern w:val="0"/>
          <w:sz w:val="32"/>
          <w:szCs w:val="32"/>
        </w:rPr>
      </w:pPr>
    </w:p>
    <w:p w:rsidR="00EB6D24" w:rsidRPr="00EB6D24" w:rsidRDefault="00EB6D24" w:rsidP="00EB6D24">
      <w:pPr>
        <w:widowControl/>
        <w:jc w:val="center"/>
        <w:rPr>
          <w:rFonts w:ascii="仿宋" w:eastAsia="仿宋" w:hAnsi="仿宋" w:cs="Arial" w:hint="eastAsia"/>
          <w:color w:val="000000"/>
          <w:kern w:val="0"/>
          <w:sz w:val="32"/>
          <w:szCs w:val="32"/>
        </w:rPr>
      </w:pPr>
      <w:r w:rsidRPr="00EB6D24">
        <w:rPr>
          <w:rFonts w:ascii="仿宋" w:eastAsia="仿宋" w:hAnsi="仿宋" w:cs="Arial" w:hint="eastAsia"/>
          <w:color w:val="000000"/>
          <w:kern w:val="0"/>
          <w:sz w:val="32"/>
          <w:szCs w:val="32"/>
        </w:rPr>
        <w:t>资产评估师职业资格制度暂行规定</w:t>
      </w:r>
    </w:p>
    <w:p w:rsidR="00EB6D24" w:rsidRPr="00EB6D24" w:rsidRDefault="00EB6D24" w:rsidP="00EB6D24">
      <w:pPr>
        <w:widowControl/>
        <w:jc w:val="center"/>
        <w:rPr>
          <w:rFonts w:ascii="仿宋" w:eastAsia="仿宋" w:hAnsi="仿宋" w:cs="Arial" w:hint="eastAsia"/>
          <w:color w:val="000000"/>
          <w:kern w:val="0"/>
          <w:sz w:val="32"/>
          <w:szCs w:val="32"/>
        </w:rPr>
      </w:pPr>
    </w:p>
    <w:p w:rsidR="00EB6D24" w:rsidRPr="00EB6D24" w:rsidRDefault="00EB6D24" w:rsidP="00EB6D24">
      <w:pPr>
        <w:widowControl/>
        <w:jc w:val="center"/>
        <w:rPr>
          <w:rFonts w:ascii="仿宋" w:eastAsia="仿宋" w:hAnsi="仿宋" w:cs="Arial" w:hint="eastAsia"/>
          <w:color w:val="000000"/>
          <w:kern w:val="0"/>
          <w:sz w:val="32"/>
          <w:szCs w:val="32"/>
        </w:rPr>
      </w:pPr>
      <w:r w:rsidRPr="00EB6D24">
        <w:rPr>
          <w:rFonts w:ascii="仿宋" w:eastAsia="仿宋" w:hAnsi="仿宋" w:cs="Arial" w:hint="eastAsia"/>
          <w:color w:val="000000"/>
          <w:kern w:val="0"/>
          <w:sz w:val="32"/>
          <w:szCs w:val="32"/>
        </w:rPr>
        <w:t xml:space="preserve">第一章 </w:t>
      </w:r>
      <w:r w:rsidRPr="00EB6D24">
        <w:rPr>
          <w:rFonts w:ascii="Calibri" w:eastAsia="仿宋" w:hAnsi="Calibri" w:cs="Calibri"/>
          <w:color w:val="000000"/>
          <w:kern w:val="0"/>
          <w:sz w:val="32"/>
          <w:szCs w:val="32"/>
        </w:rPr>
        <w:t> </w:t>
      </w:r>
      <w:r w:rsidRPr="00EB6D24">
        <w:rPr>
          <w:rFonts w:ascii="仿宋" w:eastAsia="仿宋" w:hAnsi="仿宋" w:cs="Arial" w:hint="eastAsia"/>
          <w:color w:val="000000"/>
          <w:kern w:val="0"/>
          <w:sz w:val="32"/>
          <w:szCs w:val="32"/>
        </w:rPr>
        <w:t>总则</w:t>
      </w:r>
    </w:p>
    <w:p w:rsidR="00EB6D24" w:rsidRPr="00EB6D24" w:rsidRDefault="00EB6D24" w:rsidP="00EB6D24">
      <w:pPr>
        <w:widowControl/>
        <w:jc w:val="center"/>
        <w:rPr>
          <w:rFonts w:ascii="仿宋" w:eastAsia="仿宋" w:hAnsi="仿宋" w:cs="Arial" w:hint="eastAsia"/>
          <w:color w:val="000000"/>
          <w:kern w:val="0"/>
          <w:sz w:val="32"/>
          <w:szCs w:val="32"/>
        </w:rPr>
      </w:pPr>
    </w:p>
    <w:p w:rsidR="00EB6D24" w:rsidRPr="00EB6D24" w:rsidRDefault="00EB6D24" w:rsidP="00EB6D24">
      <w:pPr>
        <w:spacing w:line="360" w:lineRule="auto"/>
        <w:ind w:firstLineChars="200" w:firstLine="640"/>
        <w:rPr>
          <w:rFonts w:ascii="仿宋" w:eastAsia="仿宋" w:hAnsi="仿宋" w:cs="宋体" w:hint="eastAsia"/>
          <w:color w:val="000000"/>
          <w:kern w:val="0"/>
          <w:sz w:val="32"/>
          <w:szCs w:val="32"/>
        </w:rPr>
      </w:pPr>
      <w:r w:rsidRPr="00EB6D24">
        <w:rPr>
          <w:rFonts w:ascii="仿宋" w:eastAsia="仿宋" w:hAnsi="仿宋" w:cs="宋体"/>
          <w:color w:val="000000"/>
          <w:kern w:val="0"/>
          <w:sz w:val="32"/>
          <w:szCs w:val="32"/>
        </w:rPr>
        <w:t>第一条</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为加强资产评估专业人员队伍建设，提高资产评估专业人员素质，规范资产评估行业管理，根据《中华人民共和国资产评估法》和国家职业资格证书制度的有关规定，制定本规定。</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第二条</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本规定适用于从事资产评估业务的专业人员。</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第三条</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国家设立资产评估师水平评价类职业资格制度，面向全社会提供资产评估师能力水平评价服务，纳入全国专业技术人员职业资格证书制度统一规划。</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第四条</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资产评估师职业资格实行考试的评价方式。</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 xml:space="preserve">　　　　资产评估师英文为:</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Public</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Valuer</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(简称</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PV)。</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第五条</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通过资产评估师职业资格考试并取得职业资格证书的人员，表明其已达到承办法定评估业务的要求和水平。</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第六条</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人力资源社会保障部、财政部共同负责资产评估</w:t>
      </w:r>
      <w:r w:rsidRPr="00EB6D24">
        <w:rPr>
          <w:rFonts w:ascii="仿宋" w:eastAsia="仿宋" w:hAnsi="仿宋" w:cs="宋体"/>
          <w:color w:val="000000"/>
          <w:kern w:val="0"/>
          <w:sz w:val="32"/>
          <w:szCs w:val="32"/>
        </w:rPr>
        <w:lastRenderedPageBreak/>
        <w:t>师职业资格制度的政策制定，并按职责分工对资产评估师职业资格制度的实施进行指导、监督和检查。中国资产评估协会具体承担资产评估师职业资格的评价与管理工作。</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Calibri" w:eastAsia="仿宋" w:hAnsi="Calibri" w:cs="Calibri"/>
          <w:color w:val="000000"/>
          <w:kern w:val="0"/>
          <w:sz w:val="32"/>
          <w:szCs w:val="32"/>
        </w:rPr>
        <w:t> </w:t>
      </w:r>
    </w:p>
    <w:p w:rsidR="00EB6D24" w:rsidRPr="00EB6D24" w:rsidRDefault="00EB6D24" w:rsidP="00EB6D24">
      <w:pPr>
        <w:widowControl/>
        <w:spacing w:line="360" w:lineRule="auto"/>
        <w:ind w:firstLine="420"/>
        <w:jc w:val="center"/>
        <w:rPr>
          <w:rFonts w:ascii="仿宋" w:eastAsia="仿宋" w:hAnsi="仿宋" w:cs="宋体"/>
          <w:color w:val="000000"/>
          <w:kern w:val="0"/>
          <w:sz w:val="32"/>
          <w:szCs w:val="32"/>
        </w:rPr>
      </w:pPr>
      <w:r w:rsidRPr="00EB6D24">
        <w:rPr>
          <w:rFonts w:ascii="仿宋" w:eastAsia="仿宋" w:hAnsi="仿宋" w:cs="宋体"/>
          <w:color w:val="000000"/>
          <w:kern w:val="0"/>
          <w:sz w:val="32"/>
          <w:szCs w:val="32"/>
        </w:rPr>
        <w:t xml:space="preserve">第二章 </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考试</w:t>
      </w:r>
    </w:p>
    <w:p w:rsidR="00EB6D24" w:rsidRPr="00EB6D24" w:rsidRDefault="00EB6D24" w:rsidP="00EB6D24">
      <w:pPr>
        <w:spacing w:line="360" w:lineRule="auto"/>
        <w:ind w:leftChars="200" w:left="420"/>
        <w:rPr>
          <w:rFonts w:ascii="仿宋" w:eastAsia="仿宋" w:hAnsi="仿宋" w:cs="宋体"/>
          <w:color w:val="000000"/>
          <w:kern w:val="0"/>
          <w:sz w:val="32"/>
          <w:szCs w:val="32"/>
        </w:rPr>
      </w:pPr>
      <w:r w:rsidRPr="00EB6D24">
        <w:rPr>
          <w:rFonts w:ascii="Calibri" w:eastAsia="仿宋" w:hAnsi="Calibri" w:cs="Calibri"/>
          <w:color w:val="000000"/>
          <w:kern w:val="0"/>
          <w:sz w:val="32"/>
          <w:szCs w:val="32"/>
        </w:rPr>
        <w:t> </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第七条</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资产评估师职业资格增设珠宝评估专业，其资格名称为资产评估师（珠宝）。资产评估师（含珠宝评估专业）职业资格（以下统称资产评估师职业资格）实行全国统一大纲、统一命题、统一组织的考试制度。</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第八条</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中国资产评估协会负责资产评估师职业资格考试的组织和实施工作。组织成立资产评估师职业资格考试专家委员会，研究制定资产评估师职业资格考试科目、考试大纲、考试试题和考试合格标准。</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第九条</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人力资源社会保障部、财政部对中国资产评估协会实施的考试工作进行监督和检查，指导中国资产评估协会确定资产评估师职业资格考试科目、考试大纲、考试试题和考试合格标准。</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第十条</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具有高等院校专科以上学历的公民，可以参加资产评估师职业资格考试。</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第十一条</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资产评估师职业资格考试合格，由中国资产评估协会颁发人力资源社会保障部、财政部监制，中国资产评</w:t>
      </w:r>
      <w:r w:rsidRPr="00EB6D24">
        <w:rPr>
          <w:rFonts w:ascii="仿宋" w:eastAsia="仿宋" w:hAnsi="仿宋" w:cs="宋体"/>
          <w:color w:val="000000"/>
          <w:kern w:val="0"/>
          <w:sz w:val="32"/>
          <w:szCs w:val="32"/>
        </w:rPr>
        <w:lastRenderedPageBreak/>
        <w:t>估协会用印的《中华人民共和国资产评估师职业资格证书》（以下简称资产评估师职业资格证书）。该证书在全国范围有效。</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中国资产评估协会应当在其网站上公布资产评估师名单，并实时更新。</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第十二条</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对以不正当手段取得资产评估师职业资格证书的，按照国家专业技术人员资格考试违纪违规行为处理规定处理。</w:t>
      </w:r>
    </w:p>
    <w:p w:rsidR="00EB6D24" w:rsidRPr="00EB6D24" w:rsidRDefault="00EB6D24" w:rsidP="00EB6D24">
      <w:pPr>
        <w:spacing w:line="360" w:lineRule="auto"/>
        <w:ind w:leftChars="200" w:left="420"/>
        <w:rPr>
          <w:rFonts w:ascii="仿宋" w:eastAsia="仿宋" w:hAnsi="仿宋" w:cs="宋体"/>
          <w:color w:val="000000"/>
          <w:kern w:val="0"/>
          <w:sz w:val="32"/>
          <w:szCs w:val="32"/>
        </w:rPr>
      </w:pPr>
      <w:r w:rsidRPr="00EB6D24">
        <w:rPr>
          <w:rFonts w:ascii="Calibri" w:eastAsia="仿宋" w:hAnsi="Calibri" w:cs="Calibri"/>
          <w:color w:val="000000"/>
          <w:kern w:val="0"/>
          <w:sz w:val="32"/>
          <w:szCs w:val="32"/>
        </w:rPr>
        <w:t> </w:t>
      </w:r>
    </w:p>
    <w:p w:rsidR="00EB6D24" w:rsidRPr="00EB6D24" w:rsidRDefault="00EB6D24" w:rsidP="00EB6D24">
      <w:pPr>
        <w:widowControl/>
        <w:spacing w:line="360" w:lineRule="auto"/>
        <w:ind w:firstLine="420"/>
        <w:jc w:val="center"/>
        <w:rPr>
          <w:rFonts w:ascii="仿宋" w:eastAsia="仿宋" w:hAnsi="仿宋" w:cs="宋体"/>
          <w:color w:val="000000"/>
          <w:kern w:val="0"/>
          <w:sz w:val="32"/>
          <w:szCs w:val="32"/>
        </w:rPr>
      </w:pPr>
      <w:r w:rsidRPr="00EB6D24">
        <w:rPr>
          <w:rFonts w:ascii="仿宋" w:eastAsia="仿宋" w:hAnsi="仿宋" w:cs="宋体"/>
          <w:color w:val="000000"/>
          <w:kern w:val="0"/>
          <w:sz w:val="32"/>
          <w:szCs w:val="32"/>
        </w:rPr>
        <w:t xml:space="preserve">第三章 </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职业能力</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第十三条</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取得资产评估师职业资格证书的人员，应当遵守国家法律、法规及资产评估行业相关制度准则，恪守职业道德，秉承客观公正原则，维护国家和社会公共利益。</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第十四条</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取得资产评估师职业资格证书的人员，应当具备的职业能力：</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（一）熟悉资产评估行业相关法律、法规和行业制度、准则；</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（二）跟踪国内外评估技术方法和评估市场的发展趋势，具有较强的开拓创新能力；</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（三）运用评估专业理论与方法，较好完成资产评估业务；</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lastRenderedPageBreak/>
        <w:t>（四）独立解决资产评估业务中的疑难问题。</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第十五条</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取得资产评估师职业资格证书的人员，应当按照国家专业技术人员继续教育以及资产评估行业管理的有关规定，参加继续教育，不断更新专业知识，提高职业素质和业务能力。</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p>
    <w:p w:rsidR="00EB6D24" w:rsidRPr="00EB6D24" w:rsidRDefault="00EB6D24" w:rsidP="00EB6D24">
      <w:pPr>
        <w:widowControl/>
        <w:spacing w:line="360" w:lineRule="auto"/>
        <w:ind w:firstLine="420"/>
        <w:jc w:val="center"/>
        <w:rPr>
          <w:rFonts w:ascii="仿宋" w:eastAsia="仿宋" w:hAnsi="仿宋" w:cs="宋体"/>
          <w:color w:val="000000"/>
          <w:kern w:val="0"/>
          <w:sz w:val="32"/>
          <w:szCs w:val="32"/>
        </w:rPr>
      </w:pPr>
      <w:r w:rsidRPr="00EB6D24">
        <w:rPr>
          <w:rFonts w:ascii="仿宋" w:eastAsia="仿宋" w:hAnsi="仿宋" w:cs="宋体"/>
          <w:color w:val="000000"/>
          <w:kern w:val="0"/>
          <w:sz w:val="32"/>
          <w:szCs w:val="32"/>
        </w:rPr>
        <w:t xml:space="preserve">第四章 </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附则</w:t>
      </w:r>
    </w:p>
    <w:p w:rsidR="00EB6D24" w:rsidRPr="00EB6D24" w:rsidRDefault="00EB6D24" w:rsidP="00EB6D24">
      <w:pPr>
        <w:widowControl/>
        <w:spacing w:line="360" w:lineRule="auto"/>
        <w:ind w:firstLine="420"/>
        <w:jc w:val="center"/>
        <w:rPr>
          <w:rFonts w:ascii="仿宋" w:eastAsia="仿宋" w:hAnsi="仿宋" w:cs="宋体"/>
          <w:color w:val="000000"/>
          <w:kern w:val="0"/>
          <w:sz w:val="32"/>
          <w:szCs w:val="32"/>
        </w:rPr>
      </w:pP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第十六条</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通过考试取得资产评估师职业资格证书的，用人单位可根据工作需要按照经济系列相应级别职称择优聘任。</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第十七条</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本规定施行前，按照国家有关规定取得的注册资产评估师执业资格证书和资产评估师职业资格证书继续有效。</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第十八条</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本规定自发布之日起施行。</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Calibri" w:eastAsia="仿宋" w:hAnsi="Calibri" w:cs="Calibri"/>
          <w:color w:val="000000"/>
          <w:kern w:val="0"/>
          <w:sz w:val="32"/>
          <w:szCs w:val="32"/>
        </w:rPr>
        <w:t> </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p>
    <w:p w:rsidR="00EB6D24" w:rsidRPr="00EB6D24" w:rsidRDefault="00EB6D24" w:rsidP="00EB6D24">
      <w:pPr>
        <w:widowControl/>
        <w:spacing w:line="360" w:lineRule="auto"/>
        <w:ind w:firstLine="420"/>
        <w:jc w:val="center"/>
        <w:rPr>
          <w:rFonts w:ascii="仿宋" w:eastAsia="仿宋" w:hAnsi="仿宋" w:cs="宋体"/>
          <w:color w:val="000000"/>
          <w:kern w:val="0"/>
          <w:sz w:val="32"/>
          <w:szCs w:val="32"/>
        </w:rPr>
      </w:pPr>
      <w:r w:rsidRPr="00EB6D24">
        <w:rPr>
          <w:rFonts w:ascii="仿宋" w:eastAsia="仿宋" w:hAnsi="仿宋" w:cs="宋体"/>
          <w:color w:val="000000"/>
          <w:kern w:val="0"/>
          <w:sz w:val="32"/>
          <w:szCs w:val="32"/>
        </w:rPr>
        <w:t>资产评估师职业资格考试实施办法</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Calibri" w:eastAsia="仿宋" w:hAnsi="Calibri" w:cs="Calibri"/>
          <w:color w:val="000000"/>
          <w:kern w:val="0"/>
          <w:sz w:val="32"/>
          <w:szCs w:val="32"/>
        </w:rPr>
        <w:t> </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第一条</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人力资源社会保障部、财政部按照职责分工负责指导、监督和检查资产评估师职业资格考试的实施工作。</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第二条</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中国资产评估协会具体负责资产评估师职业资</w:t>
      </w:r>
      <w:r w:rsidRPr="00EB6D24">
        <w:rPr>
          <w:rFonts w:ascii="仿宋" w:eastAsia="仿宋" w:hAnsi="仿宋" w:cs="宋体"/>
          <w:color w:val="000000"/>
          <w:kern w:val="0"/>
          <w:sz w:val="32"/>
          <w:szCs w:val="32"/>
        </w:rPr>
        <w:lastRenderedPageBreak/>
        <w:t>格考试的实施工作。</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第三条</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资产评估师职业资格考试设《资产评估基础》《资产评估相关知识》《资产评估实务（一）》和《资产评估实务（二）》4个科目。每个科目的考试时间为3小时。资产评估师职业资格考试原则上每年举行一次。</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第四条</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资产评估师（珠宝）职业资格考试设《资产评估基础》《资产评估相关知识》《珠宝鉴定与评估》《珠宝评估实务》4个科目。其中《资产评估基础》和《资产评估相关知识》2个科目纳入资产评估师职业资格统一考试；《珠宝鉴定与评估》和《珠宝评估实务》科目考试原则上每两年举行一次。</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《珠宝评估鉴定与评估》和《珠宝评估实务》每个科目的考试时间为3小时。</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第五条</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资产评估师（含珠宝评估专业）职业资格考试成绩实行4年为一个周期的滚动管理办法。在连续4年内，参加全部（4个）科目的考试并合格，可取得相应资产评估师职业资格证书。</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第六条</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符合《资产评估师职业资格制度暂行规定》（以下简称《暂行规定》）第十条考试报名条件的人员，可申请参加资产评估师（含珠宝评估专业）职业资格考试。</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第七条</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符合《暂行规定》第十条考试报名条件，并具备下列一项条件的人员，可免试相应科目。</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lastRenderedPageBreak/>
        <w:t>（一）按照国家有关规定取得高级会计师、高级审计师、高级经济师职称，或者通过全国统一考试取得注册会计师证书，可免试资产评估师职业资格《资产评估相关知识》科目，只参加《资产评估基础》《资产评估实务（一）》《资产评估实务（二）》3个科目的考试。</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二）按照国家有关规定取得资产评估专业副教授及以上职称，可免试资产评估师职业资格《资产评估基础》科目，只参加《资产评估相关知识》《资产评估实务（一）》《资产评估实务（二）》3个科目的考试。</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（三）通过全国统一考试取得资产评估师职业资格证书，可免试资产评估师（珠宝）职业资格《资产评估基础》《资产评估相关知识》2个科目，只参加《珠宝鉴定与评估》和《珠宝评估实务》2个科目的考试。</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免试部分科目的人员在报名时，应当提供相应证明。</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第八条</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免试部分科目人员的考试成绩，以应试科目数量确定其合格成绩管理滚动有效期限。参加3个科目考试其合格成绩以3年为一个滚动管理周期；参加2个科目考试其合格成绩以2年为一个滚动管理周期。免试部分科目的人员，必须在连续3年或者2年内取得应试科目的合格成绩，方可取得相应资产评估师职业资格证书。</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第九条</w:t>
      </w:r>
      <w:r w:rsidRPr="00EB6D24">
        <w:rPr>
          <w:rFonts w:ascii="Calibri" w:eastAsia="仿宋" w:hAnsi="Calibri" w:cs="Calibri"/>
          <w:color w:val="000000"/>
          <w:kern w:val="0"/>
          <w:sz w:val="32"/>
          <w:szCs w:val="32"/>
        </w:rPr>
        <w:t> </w:t>
      </w:r>
      <w:r w:rsidRPr="00EB6D24">
        <w:rPr>
          <w:rFonts w:ascii="仿宋" w:eastAsia="仿宋" w:hAnsi="仿宋" w:cs="宋体"/>
          <w:color w:val="000000"/>
          <w:kern w:val="0"/>
          <w:sz w:val="32"/>
          <w:szCs w:val="32"/>
        </w:rPr>
        <w:t>为保证资产评估师考试科目名称调整的平稳过渡，在2017年度考试报名时，应按如下要求进行：</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lastRenderedPageBreak/>
        <w:t>（一）在2017年以前，已按照原《资产评估师职业资格考试实施办法》取得部分考试科目合格成绩的人员，可按照以下两种情况报考：</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1.2017年度继续按照原考试科目要求参加剩余科目的考试，考试结束后仍未取得资产评估师职业资格证书的人员，有效成绩按照以下对应关系转换至新的科目，并按照4年为一个滚动周期的办法管理；</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2.2017年度申请参加新科目考试，有效成绩按照以下对应关系转换至新的科目，并按照4年为一个滚动周期的办法管理。</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p>
    <w:tbl>
      <w:tblPr>
        <w:tblW w:w="4593" w:type="pct"/>
        <w:jc w:val="center"/>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4A0" w:firstRow="1" w:lastRow="0" w:firstColumn="1" w:lastColumn="0" w:noHBand="0" w:noVBand="1"/>
      </w:tblPr>
      <w:tblGrid>
        <w:gridCol w:w="3218"/>
        <w:gridCol w:w="4397"/>
      </w:tblGrid>
      <w:tr w:rsidR="00EB6D24" w:rsidRPr="00EB6D24" w:rsidTr="00EB6D24">
        <w:trPr>
          <w:trHeight w:val="558"/>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rsidR="00EB6D24" w:rsidRPr="00EB6D24" w:rsidRDefault="00EB6D24" w:rsidP="00EB6D24">
            <w:pPr>
              <w:widowControl/>
              <w:jc w:val="center"/>
              <w:rPr>
                <w:rFonts w:ascii="仿宋" w:eastAsia="仿宋" w:hAnsi="仿宋" w:cs="Arial"/>
                <w:color w:val="000000"/>
                <w:kern w:val="0"/>
                <w:sz w:val="32"/>
                <w:szCs w:val="32"/>
              </w:rPr>
            </w:pPr>
            <w:r w:rsidRPr="00EB6D24">
              <w:rPr>
                <w:rFonts w:ascii="仿宋" w:eastAsia="仿宋" w:hAnsi="仿宋" w:cs="Arial"/>
                <w:color w:val="000000"/>
                <w:kern w:val="0"/>
                <w:sz w:val="32"/>
                <w:szCs w:val="32"/>
              </w:rPr>
              <w:t>原考试科目</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EB6D24" w:rsidRPr="00EB6D24" w:rsidRDefault="00EB6D24" w:rsidP="00EB6D24">
            <w:pPr>
              <w:widowControl/>
              <w:jc w:val="center"/>
              <w:rPr>
                <w:rFonts w:ascii="仿宋" w:eastAsia="仿宋" w:hAnsi="仿宋" w:cs="Arial"/>
                <w:color w:val="000000"/>
                <w:kern w:val="0"/>
                <w:sz w:val="32"/>
                <w:szCs w:val="32"/>
              </w:rPr>
            </w:pPr>
            <w:r w:rsidRPr="00EB6D24">
              <w:rPr>
                <w:rFonts w:ascii="仿宋" w:eastAsia="仿宋" w:hAnsi="仿宋" w:cs="Arial"/>
                <w:color w:val="000000"/>
                <w:kern w:val="0"/>
                <w:sz w:val="32"/>
                <w:szCs w:val="32"/>
              </w:rPr>
              <w:t>现考试科目</w:t>
            </w:r>
          </w:p>
        </w:tc>
      </w:tr>
      <w:tr w:rsidR="00EB6D24" w:rsidRPr="00EB6D24" w:rsidTr="00EB6D24">
        <w:trPr>
          <w:trHeight w:val="824"/>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rsidR="00EB6D24" w:rsidRPr="00EB6D24" w:rsidRDefault="00EB6D24" w:rsidP="00EB6D24">
            <w:pPr>
              <w:widowControl/>
              <w:jc w:val="center"/>
              <w:rPr>
                <w:rFonts w:ascii="仿宋" w:eastAsia="仿宋" w:hAnsi="仿宋" w:cs="Arial"/>
                <w:color w:val="000000"/>
                <w:kern w:val="0"/>
                <w:sz w:val="32"/>
                <w:szCs w:val="32"/>
              </w:rPr>
            </w:pPr>
            <w:r w:rsidRPr="00EB6D24">
              <w:rPr>
                <w:rFonts w:ascii="仿宋" w:eastAsia="仿宋" w:hAnsi="仿宋" w:cs="Arial"/>
                <w:color w:val="000000"/>
                <w:kern w:val="0"/>
                <w:sz w:val="32"/>
                <w:szCs w:val="32"/>
              </w:rPr>
              <w:t>《资产评估》</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EB6D24" w:rsidRPr="00EB6D24" w:rsidRDefault="00EB6D24" w:rsidP="00EB6D24">
            <w:pPr>
              <w:widowControl/>
              <w:jc w:val="center"/>
              <w:rPr>
                <w:rFonts w:ascii="仿宋" w:eastAsia="仿宋" w:hAnsi="仿宋" w:cs="Arial"/>
                <w:color w:val="000000"/>
                <w:kern w:val="0"/>
                <w:sz w:val="32"/>
                <w:szCs w:val="32"/>
              </w:rPr>
            </w:pPr>
            <w:r w:rsidRPr="00EB6D24">
              <w:rPr>
                <w:rFonts w:ascii="仿宋" w:eastAsia="仿宋" w:hAnsi="仿宋" w:cs="Arial" w:hint="eastAsia"/>
                <w:color w:val="000000"/>
                <w:kern w:val="0"/>
                <w:sz w:val="32"/>
                <w:szCs w:val="32"/>
              </w:rPr>
              <w:t>《资产评估基础》</w:t>
            </w:r>
          </w:p>
          <w:p w:rsidR="00EB6D24" w:rsidRPr="00EB6D24" w:rsidRDefault="00EB6D24" w:rsidP="00EB6D24">
            <w:pPr>
              <w:widowControl/>
              <w:jc w:val="center"/>
              <w:rPr>
                <w:rFonts w:ascii="仿宋" w:eastAsia="仿宋" w:hAnsi="仿宋" w:cs="Arial" w:hint="eastAsia"/>
                <w:color w:val="000000"/>
                <w:kern w:val="0"/>
                <w:sz w:val="32"/>
                <w:szCs w:val="32"/>
              </w:rPr>
            </w:pPr>
            <w:r w:rsidRPr="00EB6D24">
              <w:rPr>
                <w:rFonts w:ascii="仿宋" w:eastAsia="仿宋" w:hAnsi="仿宋" w:cs="Arial" w:hint="eastAsia"/>
                <w:color w:val="000000"/>
                <w:kern w:val="0"/>
                <w:sz w:val="32"/>
                <w:szCs w:val="32"/>
              </w:rPr>
              <w:t>《资产评估实务（二）》</w:t>
            </w:r>
          </w:p>
        </w:tc>
      </w:tr>
      <w:tr w:rsidR="00EB6D24" w:rsidRPr="00EB6D24" w:rsidTr="00EB6D24">
        <w:trPr>
          <w:trHeight w:val="1382"/>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rsidR="00EB6D24" w:rsidRPr="00EB6D24" w:rsidRDefault="00EB6D24" w:rsidP="00EB6D24">
            <w:pPr>
              <w:widowControl/>
              <w:jc w:val="center"/>
              <w:rPr>
                <w:rFonts w:ascii="仿宋" w:eastAsia="仿宋" w:hAnsi="仿宋" w:cs="Arial" w:hint="eastAsia"/>
                <w:color w:val="000000"/>
                <w:kern w:val="0"/>
                <w:sz w:val="32"/>
                <w:szCs w:val="32"/>
              </w:rPr>
            </w:pPr>
            <w:r w:rsidRPr="00EB6D24">
              <w:rPr>
                <w:rFonts w:ascii="仿宋" w:eastAsia="仿宋" w:hAnsi="仿宋" w:cs="Arial" w:hint="eastAsia"/>
                <w:color w:val="000000"/>
                <w:kern w:val="0"/>
                <w:sz w:val="32"/>
                <w:szCs w:val="32"/>
              </w:rPr>
              <w:t>《资产评估》</w:t>
            </w:r>
          </w:p>
          <w:p w:rsidR="00EB6D24" w:rsidRPr="00EB6D24" w:rsidRDefault="00EB6D24" w:rsidP="00EB6D24">
            <w:pPr>
              <w:widowControl/>
              <w:jc w:val="center"/>
              <w:rPr>
                <w:rFonts w:ascii="仿宋" w:eastAsia="仿宋" w:hAnsi="仿宋" w:cs="Arial" w:hint="eastAsia"/>
                <w:color w:val="000000"/>
                <w:kern w:val="0"/>
                <w:sz w:val="32"/>
                <w:szCs w:val="32"/>
              </w:rPr>
            </w:pPr>
            <w:r w:rsidRPr="00EB6D24">
              <w:rPr>
                <w:rFonts w:ascii="仿宋" w:eastAsia="仿宋" w:hAnsi="仿宋" w:cs="Arial" w:hint="eastAsia"/>
                <w:color w:val="000000"/>
                <w:kern w:val="0"/>
                <w:sz w:val="32"/>
                <w:szCs w:val="32"/>
              </w:rPr>
              <w:t>《机电设备评估》</w:t>
            </w:r>
          </w:p>
          <w:p w:rsidR="00EB6D24" w:rsidRPr="00EB6D24" w:rsidRDefault="00EB6D24" w:rsidP="00EB6D24">
            <w:pPr>
              <w:widowControl/>
              <w:jc w:val="center"/>
              <w:rPr>
                <w:rFonts w:ascii="仿宋" w:eastAsia="仿宋" w:hAnsi="仿宋" w:cs="Arial" w:hint="eastAsia"/>
                <w:color w:val="000000"/>
                <w:kern w:val="0"/>
                <w:sz w:val="32"/>
                <w:szCs w:val="32"/>
              </w:rPr>
            </w:pPr>
            <w:r w:rsidRPr="00EB6D24">
              <w:rPr>
                <w:rFonts w:ascii="仿宋" w:eastAsia="仿宋" w:hAnsi="仿宋" w:cs="Arial" w:hint="eastAsia"/>
                <w:color w:val="000000"/>
                <w:kern w:val="0"/>
                <w:sz w:val="32"/>
                <w:szCs w:val="32"/>
              </w:rPr>
              <w:t>《建筑工程评估》</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EB6D24" w:rsidRPr="00EB6D24" w:rsidRDefault="00EB6D24" w:rsidP="00EB6D24">
            <w:pPr>
              <w:widowControl/>
              <w:jc w:val="center"/>
              <w:rPr>
                <w:rFonts w:ascii="仿宋" w:eastAsia="仿宋" w:hAnsi="仿宋" w:cs="Arial" w:hint="eastAsia"/>
                <w:color w:val="000000"/>
                <w:kern w:val="0"/>
                <w:sz w:val="32"/>
                <w:szCs w:val="32"/>
              </w:rPr>
            </w:pPr>
            <w:r w:rsidRPr="00EB6D24">
              <w:rPr>
                <w:rFonts w:ascii="仿宋" w:eastAsia="仿宋" w:hAnsi="仿宋" w:cs="Arial" w:hint="eastAsia"/>
                <w:color w:val="000000"/>
                <w:kern w:val="0"/>
                <w:sz w:val="32"/>
                <w:szCs w:val="32"/>
              </w:rPr>
              <w:t>《资产评估基础》</w:t>
            </w:r>
          </w:p>
          <w:p w:rsidR="00EB6D24" w:rsidRPr="00EB6D24" w:rsidRDefault="00EB6D24" w:rsidP="00EB6D24">
            <w:pPr>
              <w:widowControl/>
              <w:jc w:val="center"/>
              <w:rPr>
                <w:rFonts w:ascii="仿宋" w:eastAsia="仿宋" w:hAnsi="仿宋" w:cs="Arial" w:hint="eastAsia"/>
                <w:color w:val="000000"/>
                <w:kern w:val="0"/>
                <w:sz w:val="32"/>
                <w:szCs w:val="32"/>
              </w:rPr>
            </w:pPr>
            <w:r w:rsidRPr="00EB6D24">
              <w:rPr>
                <w:rFonts w:ascii="仿宋" w:eastAsia="仿宋" w:hAnsi="仿宋" w:cs="Arial" w:hint="eastAsia"/>
                <w:color w:val="000000"/>
                <w:kern w:val="0"/>
                <w:sz w:val="32"/>
                <w:szCs w:val="32"/>
              </w:rPr>
              <w:t>《资产评估实务（一）》</w:t>
            </w:r>
          </w:p>
          <w:p w:rsidR="00EB6D24" w:rsidRPr="00EB6D24" w:rsidRDefault="00EB6D24" w:rsidP="00EB6D24">
            <w:pPr>
              <w:widowControl/>
              <w:jc w:val="center"/>
              <w:rPr>
                <w:rFonts w:ascii="仿宋" w:eastAsia="仿宋" w:hAnsi="仿宋" w:cs="Arial" w:hint="eastAsia"/>
                <w:color w:val="000000"/>
                <w:kern w:val="0"/>
                <w:sz w:val="32"/>
                <w:szCs w:val="32"/>
              </w:rPr>
            </w:pPr>
            <w:r w:rsidRPr="00EB6D24">
              <w:rPr>
                <w:rFonts w:ascii="仿宋" w:eastAsia="仿宋" w:hAnsi="仿宋" w:cs="Arial" w:hint="eastAsia"/>
                <w:color w:val="000000"/>
                <w:kern w:val="0"/>
                <w:sz w:val="32"/>
                <w:szCs w:val="32"/>
              </w:rPr>
              <w:t>《资产评估实务（二）》</w:t>
            </w:r>
          </w:p>
        </w:tc>
      </w:tr>
      <w:tr w:rsidR="00EB6D24" w:rsidRPr="00EB6D24" w:rsidTr="00EB6D24">
        <w:trPr>
          <w:trHeight w:val="824"/>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rsidR="00EB6D24" w:rsidRPr="00EB6D24" w:rsidRDefault="00EB6D24" w:rsidP="00EB6D24">
            <w:pPr>
              <w:widowControl/>
              <w:jc w:val="center"/>
              <w:rPr>
                <w:rFonts w:ascii="仿宋" w:eastAsia="仿宋" w:hAnsi="仿宋" w:cs="Arial" w:hint="eastAsia"/>
                <w:color w:val="000000"/>
                <w:kern w:val="0"/>
                <w:sz w:val="32"/>
                <w:szCs w:val="32"/>
              </w:rPr>
            </w:pPr>
            <w:r w:rsidRPr="00EB6D24">
              <w:rPr>
                <w:rFonts w:ascii="仿宋" w:eastAsia="仿宋" w:hAnsi="仿宋" w:cs="Arial" w:hint="eastAsia"/>
                <w:color w:val="000000"/>
                <w:kern w:val="0"/>
                <w:sz w:val="32"/>
                <w:szCs w:val="32"/>
              </w:rPr>
              <w:t>《财务会计》</w:t>
            </w:r>
          </w:p>
          <w:p w:rsidR="00EB6D24" w:rsidRPr="00EB6D24" w:rsidRDefault="00EB6D24" w:rsidP="00EB6D24">
            <w:pPr>
              <w:widowControl/>
              <w:jc w:val="center"/>
              <w:rPr>
                <w:rFonts w:ascii="仿宋" w:eastAsia="仿宋" w:hAnsi="仿宋" w:cs="Arial" w:hint="eastAsia"/>
                <w:color w:val="000000"/>
                <w:kern w:val="0"/>
                <w:sz w:val="32"/>
                <w:szCs w:val="32"/>
              </w:rPr>
            </w:pPr>
            <w:r w:rsidRPr="00EB6D24">
              <w:rPr>
                <w:rFonts w:ascii="仿宋" w:eastAsia="仿宋" w:hAnsi="仿宋" w:cs="Arial" w:hint="eastAsia"/>
                <w:color w:val="000000"/>
                <w:kern w:val="0"/>
                <w:sz w:val="32"/>
                <w:szCs w:val="32"/>
              </w:rPr>
              <w:t>《经济法》</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EB6D24" w:rsidRPr="00EB6D24" w:rsidRDefault="00EB6D24" w:rsidP="00EB6D24">
            <w:pPr>
              <w:widowControl/>
              <w:jc w:val="center"/>
              <w:rPr>
                <w:rFonts w:ascii="仿宋" w:eastAsia="仿宋" w:hAnsi="仿宋" w:cs="Arial" w:hint="eastAsia"/>
                <w:color w:val="000000"/>
                <w:kern w:val="0"/>
                <w:sz w:val="32"/>
                <w:szCs w:val="32"/>
              </w:rPr>
            </w:pPr>
            <w:r w:rsidRPr="00EB6D24">
              <w:rPr>
                <w:rFonts w:ascii="仿宋" w:eastAsia="仿宋" w:hAnsi="仿宋" w:cs="Arial"/>
                <w:color w:val="000000"/>
                <w:kern w:val="0"/>
                <w:sz w:val="32"/>
                <w:szCs w:val="32"/>
              </w:rPr>
              <w:t>《资产评估相关知识》</w:t>
            </w:r>
          </w:p>
        </w:tc>
      </w:tr>
    </w:tbl>
    <w:p w:rsidR="00EB6D24" w:rsidRPr="00EB6D24" w:rsidRDefault="00EB6D24" w:rsidP="00EB6D24">
      <w:pPr>
        <w:widowControl/>
        <w:spacing w:line="360" w:lineRule="auto"/>
        <w:ind w:firstLine="420"/>
        <w:jc w:val="left"/>
        <w:rPr>
          <w:rFonts w:ascii="仿宋" w:eastAsia="仿宋" w:hAnsi="仿宋" w:cs="宋体"/>
          <w:color w:val="000000"/>
          <w:kern w:val="0"/>
          <w:sz w:val="32"/>
          <w:szCs w:val="32"/>
        </w:rPr>
      </w:pP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（二）其他人员应当按照本办法规定的科目报名参加考试。</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lastRenderedPageBreak/>
        <w:t>自2018年起，资产评估师职业资格考试报名均应按照本办法规定的科目和要求进行。</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第十条 参加考试由本人提出申请，按考试管理机构有关考试报名的规定办理手续。考试管理机构按照规定的程序和报名条件审核合格后，核发准考证。参加考试人员凭准考证和有效证件在指定的日期、时间和地点参加考试。</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中央和国务院各部门及所属单位、中央管理企业的人员按属地原则报名参加考试。</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第十一条 资产评估师（含珠宝评估专业）职业资格考试的考点，原则上设在直辖市和省会城市的中、高等学校或者高考定点学校。如确需在其他城市设置考点，须经中国资产评估协会批准。考试日期原则上在每年的第三季度。</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第十二条 坚持考试与培训分开的原则。凡参与考试工作（包括命题、审题与组织管理等）的人员，不得参加考试，也不得参加或者举办与考试内容相关的培训工作。应考人员参加培训坚持自愿原则。</w:t>
      </w:r>
    </w:p>
    <w:p w:rsidR="00EB6D24" w:rsidRPr="00EB6D24" w:rsidRDefault="00EB6D24" w:rsidP="00EB6D24">
      <w:pPr>
        <w:spacing w:line="360" w:lineRule="auto"/>
        <w:ind w:firstLineChars="200" w:firstLine="640"/>
        <w:rPr>
          <w:rFonts w:ascii="仿宋" w:eastAsia="仿宋" w:hAnsi="仿宋" w:cs="宋体"/>
          <w:color w:val="000000"/>
          <w:kern w:val="0"/>
          <w:sz w:val="32"/>
          <w:szCs w:val="32"/>
        </w:rPr>
      </w:pPr>
      <w:r w:rsidRPr="00EB6D24">
        <w:rPr>
          <w:rFonts w:ascii="仿宋" w:eastAsia="仿宋" w:hAnsi="仿宋" w:cs="宋体"/>
          <w:color w:val="000000"/>
          <w:kern w:val="0"/>
          <w:sz w:val="32"/>
          <w:szCs w:val="32"/>
        </w:rPr>
        <w:t>第十三条 考试实施机构及其工作人员，应当严格执行《人事考试工作人员纪律规定》（人社部发〔2013〕36号）和考试工作的各项规章制度，遵守考试工作纪律，切实做好从考试试题的命制到使用等各环节的安全保密工作，严防泄密。</w:t>
      </w:r>
    </w:p>
    <w:p w:rsidR="007F6F07" w:rsidRPr="00EB6D24" w:rsidRDefault="00EB6D24" w:rsidP="00EB6D24">
      <w:pPr>
        <w:spacing w:line="360" w:lineRule="auto"/>
        <w:ind w:firstLineChars="200" w:firstLine="640"/>
        <w:rPr>
          <w:rFonts w:ascii="仿宋" w:eastAsia="仿宋" w:hAnsi="仿宋" w:cs="宋体" w:hint="eastAsia"/>
          <w:color w:val="000000"/>
          <w:kern w:val="0"/>
          <w:sz w:val="32"/>
          <w:szCs w:val="32"/>
        </w:rPr>
      </w:pPr>
      <w:r w:rsidRPr="00EB6D24">
        <w:rPr>
          <w:rFonts w:ascii="仿宋" w:eastAsia="仿宋" w:hAnsi="仿宋" w:cs="宋体"/>
          <w:color w:val="000000"/>
          <w:kern w:val="0"/>
          <w:sz w:val="32"/>
          <w:szCs w:val="32"/>
        </w:rPr>
        <w:t>第十四条 对违反考试工作纪律和有关规定的人员，按</w:t>
      </w:r>
      <w:r w:rsidRPr="00EB6D24">
        <w:rPr>
          <w:rFonts w:ascii="仿宋" w:eastAsia="仿宋" w:hAnsi="仿宋" w:cs="宋体"/>
          <w:color w:val="000000"/>
          <w:kern w:val="0"/>
          <w:sz w:val="32"/>
          <w:szCs w:val="32"/>
        </w:rPr>
        <w:lastRenderedPageBreak/>
        <w:t>照国家专业技术人员资格考试违纪违规行为处理规定处理。</w:t>
      </w:r>
    </w:p>
    <w:sectPr w:rsidR="007F6F07" w:rsidRPr="00EB6D2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33D5" w:rsidRDefault="002433D5" w:rsidP="00EB6D24">
      <w:r>
        <w:separator/>
      </w:r>
    </w:p>
  </w:endnote>
  <w:endnote w:type="continuationSeparator" w:id="0">
    <w:p w:rsidR="002433D5" w:rsidRDefault="002433D5" w:rsidP="00EB6D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33D5" w:rsidRDefault="002433D5" w:rsidP="00EB6D24">
      <w:r>
        <w:separator/>
      </w:r>
    </w:p>
  </w:footnote>
  <w:footnote w:type="continuationSeparator" w:id="0">
    <w:p w:rsidR="002433D5" w:rsidRDefault="002433D5" w:rsidP="00EB6D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56A1"/>
    <w:rsid w:val="002433D5"/>
    <w:rsid w:val="007F6F07"/>
    <w:rsid w:val="008156A1"/>
    <w:rsid w:val="00EB6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50AB95C-514A-49AA-9DD7-1F9355C65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B6D2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B6D24"/>
    <w:rPr>
      <w:sz w:val="18"/>
      <w:szCs w:val="18"/>
    </w:rPr>
  </w:style>
  <w:style w:type="paragraph" w:styleId="a4">
    <w:name w:val="footer"/>
    <w:basedOn w:val="a"/>
    <w:link w:val="Char0"/>
    <w:uiPriority w:val="99"/>
    <w:unhideWhenUsed/>
    <w:rsid w:val="00EB6D24"/>
    <w:pPr>
      <w:tabs>
        <w:tab w:val="center" w:pos="4153"/>
        <w:tab w:val="right" w:pos="8306"/>
      </w:tabs>
      <w:snapToGrid w:val="0"/>
      <w:jc w:val="left"/>
    </w:pPr>
    <w:rPr>
      <w:sz w:val="18"/>
      <w:szCs w:val="18"/>
    </w:rPr>
  </w:style>
  <w:style w:type="character" w:customStyle="1" w:styleId="Char0">
    <w:name w:val="页脚 Char"/>
    <w:basedOn w:val="a0"/>
    <w:link w:val="a4"/>
    <w:uiPriority w:val="99"/>
    <w:rsid w:val="00EB6D2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7445024">
      <w:bodyDiv w:val="1"/>
      <w:marLeft w:val="0"/>
      <w:marRight w:val="0"/>
      <w:marTop w:val="0"/>
      <w:marBottom w:val="0"/>
      <w:divBdr>
        <w:top w:val="none" w:sz="0" w:space="0" w:color="auto"/>
        <w:left w:val="none" w:sz="0" w:space="0" w:color="auto"/>
        <w:bottom w:val="none" w:sz="0" w:space="0" w:color="auto"/>
        <w:right w:val="none" w:sz="0" w:space="0" w:color="auto"/>
      </w:divBdr>
      <w:divsChild>
        <w:div w:id="190918465">
          <w:marLeft w:val="0"/>
          <w:marRight w:val="0"/>
          <w:marTop w:val="0"/>
          <w:marBottom w:val="0"/>
          <w:divBdr>
            <w:top w:val="none" w:sz="0" w:space="0" w:color="auto"/>
            <w:left w:val="none" w:sz="0" w:space="0" w:color="auto"/>
            <w:bottom w:val="none" w:sz="0" w:space="0" w:color="auto"/>
            <w:right w:val="none" w:sz="0" w:space="0" w:color="auto"/>
          </w:divBdr>
          <w:divsChild>
            <w:div w:id="690955554">
              <w:marLeft w:val="0"/>
              <w:marRight w:val="0"/>
              <w:marTop w:val="0"/>
              <w:marBottom w:val="0"/>
              <w:divBdr>
                <w:top w:val="none" w:sz="0" w:space="0" w:color="auto"/>
                <w:left w:val="none" w:sz="0" w:space="0" w:color="auto"/>
                <w:bottom w:val="none" w:sz="0" w:space="0" w:color="auto"/>
                <w:right w:val="none" w:sz="0" w:space="0" w:color="auto"/>
              </w:divBdr>
              <w:divsChild>
                <w:div w:id="176233191">
                  <w:marLeft w:val="0"/>
                  <w:marRight w:val="0"/>
                  <w:marTop w:val="150"/>
                  <w:marBottom w:val="0"/>
                  <w:divBdr>
                    <w:top w:val="none" w:sz="0" w:space="0" w:color="auto"/>
                    <w:left w:val="none" w:sz="0" w:space="0" w:color="auto"/>
                    <w:bottom w:val="none" w:sz="0" w:space="0" w:color="auto"/>
                    <w:right w:val="none" w:sz="0" w:space="0" w:color="auto"/>
                  </w:divBdr>
                  <w:divsChild>
                    <w:div w:id="170679399">
                      <w:marLeft w:val="0"/>
                      <w:marRight w:val="0"/>
                      <w:marTop w:val="100"/>
                      <w:marBottom w:val="100"/>
                      <w:divBdr>
                        <w:top w:val="single" w:sz="6" w:space="15" w:color="BBBBBB"/>
                        <w:left w:val="single" w:sz="6" w:space="23" w:color="BBBBBB"/>
                        <w:bottom w:val="single" w:sz="6" w:space="15" w:color="BBBBBB"/>
                        <w:right w:val="single" w:sz="6" w:space="23" w:color="BBBBBB"/>
                      </w:divBdr>
                      <w:divsChild>
                        <w:div w:id="757021149">
                          <w:marLeft w:val="0"/>
                          <w:marRight w:val="0"/>
                          <w:marTop w:val="0"/>
                          <w:marBottom w:val="0"/>
                          <w:divBdr>
                            <w:top w:val="none" w:sz="0" w:space="0" w:color="auto"/>
                            <w:left w:val="none" w:sz="0" w:space="0" w:color="auto"/>
                            <w:bottom w:val="single" w:sz="12" w:space="0" w:color="0166B5"/>
                            <w:right w:val="none" w:sz="0" w:space="0" w:color="auto"/>
                          </w:divBdr>
                          <w:divsChild>
                            <w:div w:id="296447939">
                              <w:marLeft w:val="0"/>
                              <w:marRight w:val="0"/>
                              <w:marTop w:val="0"/>
                              <w:marBottom w:val="0"/>
                              <w:divBdr>
                                <w:top w:val="none" w:sz="0" w:space="0" w:color="auto"/>
                                <w:left w:val="none" w:sz="0" w:space="0" w:color="auto"/>
                                <w:bottom w:val="none" w:sz="0" w:space="0" w:color="auto"/>
                                <w:right w:val="none" w:sz="0" w:space="0" w:color="auto"/>
                              </w:divBdr>
                            </w:div>
                          </w:divsChild>
                        </w:div>
                        <w:div w:id="1966309061">
                          <w:marLeft w:val="0"/>
                          <w:marRight w:val="0"/>
                          <w:marTop w:val="0"/>
                          <w:marBottom w:val="0"/>
                          <w:divBdr>
                            <w:top w:val="none" w:sz="0" w:space="0" w:color="auto"/>
                            <w:left w:val="none" w:sz="0" w:space="0" w:color="auto"/>
                            <w:bottom w:val="none" w:sz="0" w:space="0" w:color="auto"/>
                            <w:right w:val="none" w:sz="0" w:space="0" w:color="auto"/>
                          </w:divBdr>
                          <w:divsChild>
                            <w:div w:id="582182852">
                              <w:marLeft w:val="0"/>
                              <w:marRight w:val="0"/>
                              <w:marTop w:val="0"/>
                              <w:marBottom w:val="0"/>
                              <w:divBdr>
                                <w:top w:val="none" w:sz="0" w:space="0" w:color="auto"/>
                                <w:left w:val="none" w:sz="0" w:space="0" w:color="auto"/>
                                <w:bottom w:val="none" w:sz="0" w:space="0" w:color="auto"/>
                                <w:right w:val="none" w:sz="0" w:space="0" w:color="auto"/>
                              </w:divBdr>
                              <w:divsChild>
                                <w:div w:id="2131707406">
                                  <w:marLeft w:val="0"/>
                                  <w:marRight w:val="0"/>
                                  <w:marTop w:val="0"/>
                                  <w:marBottom w:val="0"/>
                                  <w:divBdr>
                                    <w:top w:val="none" w:sz="0" w:space="0" w:color="auto"/>
                                    <w:left w:val="none" w:sz="0" w:space="0" w:color="auto"/>
                                    <w:bottom w:val="none" w:sz="0" w:space="0" w:color="auto"/>
                                    <w:right w:val="none" w:sz="0" w:space="0" w:color="auto"/>
                                  </w:divBdr>
                                </w:div>
                                <w:div w:id="403843386">
                                  <w:marLeft w:val="0"/>
                                  <w:marRight w:val="0"/>
                                  <w:marTop w:val="0"/>
                                  <w:marBottom w:val="0"/>
                                  <w:divBdr>
                                    <w:top w:val="none" w:sz="0" w:space="0" w:color="auto"/>
                                    <w:left w:val="none" w:sz="0" w:space="0" w:color="auto"/>
                                    <w:bottom w:val="none" w:sz="0" w:space="0" w:color="auto"/>
                                    <w:right w:val="none" w:sz="0" w:space="0" w:color="auto"/>
                                  </w:divBdr>
                                </w:div>
                                <w:div w:id="759376574">
                                  <w:marLeft w:val="0"/>
                                  <w:marRight w:val="0"/>
                                  <w:marTop w:val="0"/>
                                  <w:marBottom w:val="0"/>
                                  <w:divBdr>
                                    <w:top w:val="none" w:sz="0" w:space="0" w:color="auto"/>
                                    <w:left w:val="none" w:sz="0" w:space="0" w:color="auto"/>
                                    <w:bottom w:val="none" w:sz="0" w:space="0" w:color="auto"/>
                                    <w:right w:val="none" w:sz="0" w:space="0" w:color="auto"/>
                                  </w:divBdr>
                                </w:div>
                                <w:div w:id="1219391180">
                                  <w:marLeft w:val="0"/>
                                  <w:marRight w:val="0"/>
                                  <w:marTop w:val="0"/>
                                  <w:marBottom w:val="0"/>
                                  <w:divBdr>
                                    <w:top w:val="none" w:sz="0" w:space="0" w:color="auto"/>
                                    <w:left w:val="none" w:sz="0" w:space="0" w:color="auto"/>
                                    <w:bottom w:val="none" w:sz="0" w:space="0" w:color="auto"/>
                                    <w:right w:val="none" w:sz="0" w:space="0" w:color="auto"/>
                                  </w:divBdr>
                                </w:div>
                                <w:div w:id="877473537">
                                  <w:marLeft w:val="0"/>
                                  <w:marRight w:val="0"/>
                                  <w:marTop w:val="0"/>
                                  <w:marBottom w:val="0"/>
                                  <w:divBdr>
                                    <w:top w:val="none" w:sz="0" w:space="0" w:color="auto"/>
                                    <w:left w:val="none" w:sz="0" w:space="0" w:color="auto"/>
                                    <w:bottom w:val="none" w:sz="0" w:space="0" w:color="auto"/>
                                    <w:right w:val="none" w:sz="0" w:space="0" w:color="auto"/>
                                  </w:divBdr>
                                </w:div>
                                <w:div w:id="10860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564</Words>
  <Characters>3215</Characters>
  <Application>Microsoft Office Word</Application>
  <DocSecurity>0</DocSecurity>
  <Lines>26</Lines>
  <Paragraphs>7</Paragraphs>
  <ScaleCrop>false</ScaleCrop>
  <Company/>
  <LinksUpToDate>false</LinksUpToDate>
  <CharactersWithSpaces>3772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rga</dc:creator>
  <cp:keywords/>
  <dc:description/>
  <cp:lastModifiedBy>rga</cp:lastModifiedBy>
  <cp:revision>2</cp:revision>
  <dcterms:created xsi:type="dcterms:W3CDTF">2017-08-21T06:12:00Z</dcterms:created>
  <dcterms:modified xsi:type="dcterms:W3CDTF">2017-08-21T06:13:00Z</dcterms:modified>
</cp:coreProperties>
</file>