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240"/>
        <w:rPr>
          <w:rFonts w:ascii="黑体" w:hAnsi="黑体" w:eastAsia="黑体"/>
          <w:b/>
          <w:bCs/>
          <w:sz w:val="32"/>
          <w:szCs w:val="32"/>
        </w:rPr>
      </w:pPr>
      <w:r>
        <w:rPr>
          <w:rFonts w:hint="eastAsia" w:ascii="黑体" w:hAnsi="黑体" w:eastAsia="黑体"/>
          <w:b/>
          <w:bCs/>
          <w:sz w:val="32"/>
          <w:szCs w:val="32"/>
        </w:rPr>
        <w:t>附件2</w:t>
      </w:r>
    </w:p>
    <w:p>
      <w:pPr>
        <w:widowControl/>
        <w:spacing w:after="240"/>
        <w:rPr>
          <w:rFonts w:ascii="仿宋_GB2312" w:eastAsia="仿宋_GB2312"/>
          <w:bCs/>
          <w:sz w:val="24"/>
        </w:rPr>
      </w:pPr>
      <w:r>
        <w:rPr>
          <w:rFonts w:hint="eastAsia" w:ascii="仿宋_GB2312" w:eastAsia="仿宋_GB2312"/>
          <w:bCs/>
          <w:sz w:val="24"/>
        </w:rPr>
        <w:t>推荐对象先进事迹材料1</w:t>
      </w:r>
    </w:p>
    <w:p>
      <w:pPr>
        <w:widowControl/>
        <w:spacing w:after="240"/>
        <w:rPr>
          <w:rFonts w:ascii="仿宋_GB2312" w:eastAsia="仿宋_GB2312"/>
          <w:bCs/>
          <w:sz w:val="24"/>
        </w:rPr>
      </w:pPr>
    </w:p>
    <w:p>
      <w:pPr>
        <w:spacing w:line="560" w:lineRule="exact"/>
        <w:ind w:firstLine="880" w:firstLineChars="200"/>
        <w:jc w:val="center"/>
        <w:rPr>
          <w:rFonts w:ascii="黑体" w:hAnsi="黑体" w:eastAsia="黑体"/>
          <w:sz w:val="44"/>
          <w:szCs w:val="44"/>
        </w:rPr>
      </w:pPr>
      <w:r>
        <w:rPr>
          <w:rFonts w:hint="eastAsia" w:ascii="黑体" w:hAnsi="黑体" w:eastAsia="黑体"/>
          <w:sz w:val="44"/>
          <w:szCs w:val="44"/>
        </w:rPr>
        <w:t>大胆创新  稳步推进</w:t>
      </w:r>
    </w:p>
    <w:p>
      <w:pPr>
        <w:spacing w:line="560" w:lineRule="exact"/>
        <w:ind w:firstLine="880" w:firstLineChars="200"/>
        <w:jc w:val="center"/>
        <w:rPr>
          <w:rFonts w:ascii="黑体" w:hAnsi="黑体" w:eastAsia="黑体"/>
          <w:sz w:val="44"/>
          <w:szCs w:val="44"/>
        </w:rPr>
      </w:pPr>
      <w:r>
        <w:rPr>
          <w:rFonts w:hint="eastAsia" w:ascii="黑体" w:hAnsi="黑体" w:eastAsia="黑体"/>
          <w:sz w:val="44"/>
          <w:szCs w:val="44"/>
        </w:rPr>
        <w:t>积极探索放开搞活首都集体林业新发展</w:t>
      </w:r>
    </w:p>
    <w:p>
      <w:pPr>
        <w:spacing w:after="156" w:afterLines="50" w:line="560" w:lineRule="exact"/>
        <w:ind w:right="641" w:firstLine="1593" w:firstLineChars="531"/>
        <w:jc w:val="center"/>
        <w:rPr>
          <w:rFonts w:ascii="仿宋" w:hAnsi="仿宋" w:eastAsia="仿宋"/>
          <w:sz w:val="32"/>
          <w:szCs w:val="32"/>
        </w:rPr>
      </w:pPr>
      <w:r>
        <w:rPr>
          <w:rFonts w:hint="eastAsia" w:ascii="仿宋" w:hAnsi="仿宋" w:eastAsia="仿宋"/>
          <w:sz w:val="30"/>
          <w:szCs w:val="30"/>
        </w:rPr>
        <w:t>——北京市园林绿化局农村林业改革发展处</w:t>
      </w:r>
    </w:p>
    <w:p>
      <w:pPr>
        <w:spacing w:line="560" w:lineRule="exact"/>
        <w:ind w:firstLine="640" w:firstLineChars="200"/>
        <w:rPr>
          <w:rFonts w:ascii="仿宋" w:hAnsi="仿宋" w:eastAsia="仿宋"/>
          <w:sz w:val="32"/>
          <w:szCs w:val="32"/>
        </w:rPr>
      </w:pPr>
      <w:r>
        <w:rPr>
          <w:rFonts w:hint="eastAsia" w:ascii="仿宋" w:hAnsi="仿宋" w:eastAsia="仿宋"/>
          <w:sz w:val="32"/>
          <w:szCs w:val="32"/>
        </w:rPr>
        <w:t>2011年根据首都林业发展的特点和农村林业改革发展需要，经北京市编办批准，北京市园林绿化局正式成立了农村林业改革发展处，全面负责组织指导北京市林业改革和农村林业发展工作；指导、监督集体林权制度改革方针政策的落实；组织拟定农村林业发展、维护农民经营林业合法权益的政策措施并指导实施；指导农村林地林木承包经营、流转；监督林地承包合同纠纷仲裁。农村林业改革发展处前身是北京市集体林权制度改革领导小组办公室，办公室成立于2008年。该处主要承担北京市集体林权制度改革的全面实施工作，贯彻落实《中共中央 国务院关于全面推进集体林权制度改革意见》等相关政策。</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一、按时完成主体改革任务</w:t>
      </w:r>
    </w:p>
    <w:p>
      <w:pPr>
        <w:spacing w:line="560" w:lineRule="exact"/>
        <w:ind w:firstLine="566" w:firstLineChars="177"/>
        <w:rPr>
          <w:rFonts w:ascii="华文仿宋" w:hAnsi="华文仿宋" w:eastAsia="华文仿宋" w:cs="Times New Roman"/>
          <w:sz w:val="32"/>
          <w:szCs w:val="32"/>
        </w:rPr>
      </w:pPr>
      <w:r>
        <w:rPr>
          <w:rFonts w:hint="eastAsia" w:ascii="华文仿宋" w:hAnsi="华文仿宋" w:eastAsia="华文仿宋" w:cs="Times New Roman"/>
          <w:sz w:val="32"/>
          <w:szCs w:val="32"/>
        </w:rPr>
        <w:t>北京市自集体林权制度改革推行以来，在该处的积极努力下，利用3年时间，完成了以明晰林地使用权和林木所有权为主的综合性主体改革任务。对商品林全面放开搞活、自主经营；山区生态公益林，坚持集体统一管理经营，按照“均股不分山、均利不分林”的原则，以股权证明晰集体经济组织成员的产权和收益权。北京市12个区，151个乡镇、3298个村，1330万亩林地参改，3274个村完成1300万亩集体林地的确权工作，确权率为98%。其中山区生态公益林1073万亩，发放股权证57.74万本，发证率为97.3%；商品林257万亩，完成了13.5万本承包合同的梳理和完善。</w:t>
      </w:r>
    </w:p>
    <w:p>
      <w:pPr>
        <w:spacing w:line="560" w:lineRule="exact"/>
        <w:ind w:firstLine="640" w:firstLineChars="200"/>
        <w:rPr>
          <w:rFonts w:ascii="黑体" w:hAnsi="黑体" w:eastAsia="黑体"/>
          <w:sz w:val="32"/>
          <w:szCs w:val="32"/>
        </w:rPr>
      </w:pPr>
      <w:r>
        <w:rPr>
          <w:rFonts w:hint="eastAsia" w:ascii="黑体" w:hAnsi="黑体" w:eastAsia="黑体"/>
          <w:sz w:val="32"/>
          <w:szCs w:val="32"/>
        </w:rPr>
        <w:t xml:space="preserve">二、建制度，保生态，惠民生 </w:t>
      </w:r>
    </w:p>
    <w:p>
      <w:pPr>
        <w:spacing w:line="560" w:lineRule="exact"/>
        <w:ind w:firstLine="566" w:firstLineChars="177"/>
        <w:rPr>
          <w:rFonts w:ascii="华文仿宋" w:hAnsi="华文仿宋" w:eastAsia="华文仿宋" w:cs="Times New Roman"/>
          <w:sz w:val="32"/>
          <w:szCs w:val="32"/>
        </w:rPr>
      </w:pPr>
      <w:r>
        <w:rPr>
          <w:rFonts w:hint="eastAsia" w:ascii="华文仿宋" w:hAnsi="华文仿宋" w:eastAsia="华文仿宋" w:cs="Times New Roman"/>
          <w:sz w:val="32"/>
          <w:szCs w:val="32"/>
        </w:rPr>
        <w:t>在改革过程中，该处积极研究和参与研究出台了北京推进集体林权制度改革相关政策性文件及其配套文件22余个，开展试点建设2项8处，新增各类林业产业建设35万余亩。改革实现全市</w:t>
      </w:r>
      <w:r>
        <w:rPr>
          <w:rFonts w:ascii="华文仿宋" w:hAnsi="华文仿宋" w:eastAsia="华文仿宋" w:cs="Times New Roman"/>
          <w:sz w:val="32"/>
          <w:szCs w:val="32"/>
        </w:rPr>
        <w:t>127</w:t>
      </w:r>
      <w:r>
        <w:rPr>
          <w:rFonts w:hint="eastAsia" w:ascii="华文仿宋" w:hAnsi="华文仿宋" w:eastAsia="华文仿宋" w:cs="Times New Roman"/>
          <w:sz w:val="32"/>
          <w:szCs w:val="32"/>
        </w:rPr>
        <w:t>万山区农民人均收益</w:t>
      </w:r>
      <w:r>
        <w:rPr>
          <w:rFonts w:ascii="华文仿宋" w:hAnsi="华文仿宋" w:eastAsia="华文仿宋" w:cs="Times New Roman"/>
          <w:sz w:val="32"/>
          <w:szCs w:val="32"/>
        </w:rPr>
        <w:t>441</w:t>
      </w:r>
      <w:r>
        <w:rPr>
          <w:rFonts w:hint="eastAsia" w:ascii="华文仿宋" w:hAnsi="华文仿宋" w:eastAsia="华文仿宋" w:cs="Times New Roman"/>
          <w:sz w:val="32"/>
          <w:szCs w:val="32"/>
        </w:rPr>
        <w:t>元/年，带动发展新型经营主体836家，通过工程带动农民绿岗就业2.4万人，人均月收入超过3000元。先后承担了全国集体林业综合改革试验示范区、北京市家庭林场试点、林下经济、建立了北京市山区生态公益林生态效益促进发展机制、积极推进了林权抵押贷款和森林保险等改革工作。</w:t>
      </w:r>
    </w:p>
    <w:p>
      <w:pPr>
        <w:spacing w:line="560" w:lineRule="exact"/>
        <w:ind w:firstLine="566" w:firstLineChars="177"/>
        <w:rPr>
          <w:rFonts w:ascii="华文仿宋" w:hAnsi="华文仿宋" w:eastAsia="华文仿宋" w:cs="Times New Roman"/>
          <w:sz w:val="32"/>
          <w:szCs w:val="32"/>
        </w:rPr>
      </w:pPr>
      <w:r>
        <w:rPr>
          <w:rFonts w:hint="eastAsia" w:ascii="华文仿宋" w:hAnsi="华文仿宋" w:eastAsia="华文仿宋" w:cs="Times New Roman"/>
          <w:sz w:val="32"/>
          <w:szCs w:val="32"/>
        </w:rPr>
        <w:t>2010年率先在全国推行的山区生态林生态效益发展促进补偿机制，群众满意度较高，成效显著。2010年～2016年对1072.3万亩生态林给予了40元/年·亩的补偿。2016年又根据山区生态公益林的资源总量、生态服务价值、碳汇量的增长情况和全市国民经济社会发展水平对政策进行了调整，每亩由40元/年调整为70元/年，其中补偿资金42元/年·亩，森林经营资金28元/年·亩，享受补偿面积为1077万亩，年总补偿资金达7.54亿元。补偿机制的推行，群众满意度较高，成效十分显著。北京山区实现了“有虫不成灾”、“无重大森林火灾的目标”，公益林质量显著提升，森林覆盖率由2010年的50.97%提升到56.65%，林木绿化率由71.35%提高到77.22%，蓄积量由每公顷27m</w:t>
      </w:r>
      <w:r>
        <w:rPr>
          <w:rFonts w:hint="eastAsia" w:ascii="华文仿宋" w:hAnsi="华文仿宋" w:eastAsia="华文仿宋" w:cs="Times New Roman"/>
          <w:sz w:val="32"/>
          <w:szCs w:val="32"/>
          <w:vertAlign w:val="superscript"/>
        </w:rPr>
        <w:t>3</w:t>
      </w:r>
      <w:r>
        <w:rPr>
          <w:rFonts w:hint="eastAsia" w:ascii="华文仿宋" w:hAnsi="华文仿宋" w:eastAsia="华文仿宋" w:cs="Times New Roman"/>
          <w:sz w:val="32"/>
          <w:szCs w:val="32"/>
        </w:rPr>
        <w:t>增加到28.77 m</w:t>
      </w:r>
      <w:r>
        <w:rPr>
          <w:rFonts w:hint="eastAsia" w:ascii="华文仿宋" w:hAnsi="华文仿宋" w:eastAsia="华文仿宋" w:cs="Times New Roman"/>
          <w:sz w:val="32"/>
          <w:szCs w:val="32"/>
          <w:vertAlign w:val="superscript"/>
        </w:rPr>
        <w:t>3</w:t>
      </w:r>
      <w:r>
        <w:rPr>
          <w:rFonts w:hint="eastAsia" w:ascii="华文仿宋" w:hAnsi="华文仿宋" w:eastAsia="华文仿宋" w:cs="Times New Roman"/>
          <w:sz w:val="32"/>
          <w:szCs w:val="32"/>
        </w:rPr>
        <w:t>，生态服务价值由4328亿元增加到5540亿元，景观环境质量也得到明显改善。为满足首都市民的休闲度假的需求，已开始利用生态林着手打造浅山游憩带和国家森林公园，大力绿色休闲旅游业发展。</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2013年推行的《关于积极推进本市集体林权抵押贷款工作的指导意见》及相关配套指导性文件，做出林地可抵押贷款、贷款可贴息等规定。2013年至2015年，累计林权抵押贴息贷款3.34亿，实现贴息2205万元，促进农民增收近万元。</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2014年开始推行生态林森林保险试点，2016年全面推行生态林森林保险制度，实行全市统保，给全市</w:t>
      </w:r>
      <w:r>
        <w:rPr>
          <w:rFonts w:ascii="华文仿宋" w:hAnsi="华文仿宋" w:eastAsia="华文仿宋" w:cs="Times New Roman"/>
          <w:sz w:val="32"/>
          <w:szCs w:val="32"/>
        </w:rPr>
        <w:t>1137</w:t>
      </w:r>
      <w:r>
        <w:rPr>
          <w:rFonts w:hint="eastAsia" w:ascii="华文仿宋" w:hAnsi="华文仿宋" w:eastAsia="华文仿宋" w:cs="Times New Roman"/>
          <w:sz w:val="32"/>
          <w:szCs w:val="32"/>
        </w:rPr>
        <w:t>万亩山区生态公益林上了双份保险。年总保险费约为2719万元，每亩保险金额为1200元，山区保费费率为2‰，即2.4元/亩，平原地区保费费率为1.5‰，即1.8元/亩。</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2015年为加快推进农村集体林权改革进一步发展，积极大胆探索新型经营主体建设，在全市开展家庭林场试点建设，截</w:t>
      </w:r>
      <w:r>
        <w:rPr>
          <w:rFonts w:hint="eastAsia" w:ascii="华文仿宋" w:hAnsi="华文仿宋" w:eastAsia="华文仿宋" w:cs="Times New Roman"/>
          <w:sz w:val="32"/>
          <w:szCs w:val="32"/>
          <w:lang w:eastAsia="zh-CN"/>
        </w:rPr>
        <w:t>至</w:t>
      </w:r>
      <w:r>
        <w:rPr>
          <w:rFonts w:hint="eastAsia" w:ascii="华文仿宋" w:hAnsi="华文仿宋" w:eastAsia="华文仿宋" w:cs="Times New Roman"/>
          <w:sz w:val="32"/>
          <w:szCs w:val="32"/>
        </w:rPr>
        <w:t>目前共招募14家林场主，约64户农户参与建设。其中股份制林场1家，单一家庭林场12家，合作林场1家，累计投入各类资金约1533万元。</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2015年积极承担了国家林业局下达的全国集体林业综合改革试验示范区建设任务。更是推陈出新、攻坚克难，大胆探索了集体林地“三权分置并行”、金融扶持、森林保险、林权流转和集体资产股份权能等政策机制。</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同时，在市政府主导下，放活经营权，积极推动“三权分置”。依托北京农村产权交易平台，推行公开的市场化规范流转。据不完全统计，</w:t>
      </w:r>
      <w:bookmarkStart w:id="0" w:name="_GoBack"/>
      <w:bookmarkEnd w:id="0"/>
      <w:r>
        <w:rPr>
          <w:rFonts w:hint="eastAsia" w:ascii="华文仿宋" w:hAnsi="华文仿宋" w:eastAsia="华文仿宋" w:cs="Times New Roman"/>
          <w:sz w:val="32"/>
          <w:szCs w:val="32"/>
        </w:rPr>
        <w:t>截止2016年底，平台共流转各类林地211宗，约10.4万亩，交易金额达24.8亿元。</w:t>
      </w:r>
    </w:p>
    <w:p>
      <w:pPr>
        <w:spacing w:line="560" w:lineRule="exact"/>
        <w:ind w:firstLine="640" w:firstLineChars="200"/>
        <w:rPr>
          <w:rFonts w:ascii="华文仿宋" w:hAnsi="华文仿宋" w:eastAsia="华文仿宋" w:cs="Times New Roman"/>
          <w:sz w:val="32"/>
          <w:szCs w:val="32"/>
        </w:rPr>
      </w:pPr>
      <w:r>
        <w:rPr>
          <w:rFonts w:hint="eastAsia" w:ascii="黑体" w:hAnsi="黑体" w:eastAsia="黑体"/>
          <w:sz w:val="32"/>
          <w:szCs w:val="32"/>
        </w:rPr>
        <w:t>三、兴产业，敢创新，促增收</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在改革过程中，积极以产业带发展，创新经营领域，促进农民增收</w:t>
      </w:r>
      <w:r>
        <w:rPr>
          <w:rFonts w:hint="eastAsia" w:ascii="黑体" w:hAnsi="黑体" w:eastAsia="黑体"/>
          <w:sz w:val="32"/>
          <w:szCs w:val="32"/>
        </w:rPr>
        <w:t>。</w:t>
      </w:r>
      <w:r>
        <w:rPr>
          <w:rFonts w:hint="eastAsia" w:ascii="华文仿宋" w:hAnsi="华文仿宋" w:eastAsia="华文仿宋" w:cs="Times New Roman"/>
          <w:sz w:val="32"/>
          <w:szCs w:val="32"/>
        </w:rPr>
        <w:t>通过推广现代果树栽培技术、培育乡土专家，实现果品收入41.8亿元，户均达1.5万元；推行的蜜蜂饲养，年养蜂总产值达到</w:t>
      </w:r>
      <w:r>
        <w:rPr>
          <w:rFonts w:ascii="华文仿宋" w:hAnsi="华文仿宋" w:eastAsia="华文仿宋" w:cs="Times New Roman"/>
          <w:sz w:val="32"/>
          <w:szCs w:val="32"/>
        </w:rPr>
        <w:t>1.8</w:t>
      </w:r>
      <w:r>
        <w:rPr>
          <w:rFonts w:hint="eastAsia" w:ascii="华文仿宋" w:hAnsi="华文仿宋" w:eastAsia="华文仿宋" w:cs="Times New Roman"/>
          <w:sz w:val="32"/>
          <w:szCs w:val="32"/>
        </w:rPr>
        <w:t>亿元，成为山区精准扶贫的新亮点；新兴的林下经济年总收益达</w:t>
      </w:r>
      <w:r>
        <w:rPr>
          <w:rFonts w:ascii="华文仿宋" w:hAnsi="华文仿宋" w:eastAsia="华文仿宋" w:cs="Times New Roman"/>
          <w:sz w:val="32"/>
          <w:szCs w:val="32"/>
        </w:rPr>
        <w:t>2.15</w:t>
      </w:r>
      <w:r>
        <w:rPr>
          <w:rFonts w:hint="eastAsia" w:ascii="华文仿宋" w:hAnsi="华文仿宋" w:eastAsia="华文仿宋" w:cs="Times New Roman"/>
          <w:sz w:val="32"/>
          <w:szCs w:val="32"/>
        </w:rPr>
        <w:t>亿元，促使</w:t>
      </w:r>
      <w:r>
        <w:rPr>
          <w:rFonts w:ascii="华文仿宋" w:hAnsi="华文仿宋" w:eastAsia="华文仿宋" w:cs="Times New Roman"/>
          <w:sz w:val="32"/>
          <w:szCs w:val="32"/>
        </w:rPr>
        <w:t>1.2</w:t>
      </w:r>
      <w:r>
        <w:rPr>
          <w:rFonts w:hint="eastAsia" w:ascii="华文仿宋" w:hAnsi="华文仿宋" w:eastAsia="华文仿宋" w:cs="Times New Roman"/>
          <w:sz w:val="32"/>
          <w:szCs w:val="32"/>
        </w:rPr>
        <w:t>万农户户均年增收</w:t>
      </w:r>
      <w:r>
        <w:rPr>
          <w:rFonts w:ascii="华文仿宋" w:hAnsi="华文仿宋" w:eastAsia="华文仿宋" w:cs="Times New Roman"/>
          <w:sz w:val="32"/>
          <w:szCs w:val="32"/>
        </w:rPr>
        <w:t>1.79</w:t>
      </w:r>
      <w:r>
        <w:rPr>
          <w:rFonts w:hint="eastAsia" w:ascii="华文仿宋" w:hAnsi="华文仿宋" w:eastAsia="华文仿宋" w:cs="Times New Roman"/>
          <w:sz w:val="32"/>
          <w:szCs w:val="32"/>
        </w:rPr>
        <w:t>万元。全市现有林业专业合作社836家，其中41家合作社被评为国家级示范社41家，97家市级示范社，</w:t>
      </w:r>
      <w:r>
        <w:rPr>
          <w:rFonts w:ascii="仿宋" w:hAnsi="仿宋" w:eastAsia="仿宋"/>
          <w:sz w:val="32"/>
          <w:szCs w:val="32"/>
        </w:rPr>
        <w:t>2012</w:t>
      </w:r>
      <w:r>
        <w:rPr>
          <w:rFonts w:hint="eastAsia" w:ascii="仿宋" w:hAnsi="仿宋" w:eastAsia="仿宋"/>
          <w:sz w:val="32"/>
          <w:szCs w:val="32"/>
        </w:rPr>
        <w:t>年，该北京市昌平区被国家林业局评为全国首批“农民林业专业合作社示范县”</w:t>
      </w:r>
      <w:r>
        <w:rPr>
          <w:rFonts w:hint="eastAsia" w:ascii="华文仿宋" w:hAnsi="华文仿宋" w:eastAsia="华文仿宋" w:cs="Times New Roman"/>
          <w:sz w:val="32"/>
          <w:szCs w:val="32"/>
        </w:rPr>
        <w:t>；5家林下经济生产合作社和企业被评为全国林下经济示范基地。</w:t>
      </w:r>
    </w:p>
    <w:p>
      <w:pPr>
        <w:spacing w:line="560" w:lineRule="exact"/>
        <w:ind w:firstLine="640" w:firstLineChars="200"/>
        <w:rPr>
          <w:rFonts w:ascii="华文仿宋" w:hAnsi="华文仿宋" w:eastAsia="华文仿宋" w:cs="Times New Roman"/>
          <w:sz w:val="32"/>
          <w:szCs w:val="32"/>
        </w:rPr>
      </w:pPr>
      <w:r>
        <w:rPr>
          <w:rFonts w:hint="eastAsia" w:ascii="黑体" w:hAnsi="黑体" w:eastAsia="黑体"/>
          <w:sz w:val="32"/>
          <w:szCs w:val="32"/>
        </w:rPr>
        <w:t>四、重宣传，化矛盾，维稳定</w:t>
      </w:r>
    </w:p>
    <w:p>
      <w:pPr>
        <w:spacing w:line="560" w:lineRule="exact"/>
        <w:ind w:firstLine="640" w:firstLineChars="200"/>
        <w:rPr>
          <w:rFonts w:ascii="华文仿宋" w:hAnsi="华文仿宋" w:eastAsia="华文仿宋" w:cs="Times New Roman"/>
          <w:sz w:val="32"/>
          <w:szCs w:val="32"/>
        </w:rPr>
      </w:pPr>
      <w:r>
        <w:rPr>
          <w:rFonts w:hint="eastAsia" w:ascii="华文仿宋" w:hAnsi="华文仿宋" w:eastAsia="华文仿宋" w:cs="Times New Roman"/>
          <w:sz w:val="32"/>
          <w:szCs w:val="32"/>
        </w:rPr>
        <w:t>在改革推进的同时，主动排查和化解林权矛盾纠纷。通过</w:t>
      </w:r>
      <w:r>
        <w:rPr>
          <w:rFonts w:hint="eastAsia" w:ascii="仿宋_GB2312" w:eastAsia="仿宋_GB2312"/>
          <w:sz w:val="32"/>
          <w:szCs w:val="32"/>
        </w:rPr>
        <w:t>出台政策，关口前移，将矛盾化解在萌芽中；与</w:t>
      </w:r>
      <w:r>
        <w:rPr>
          <w:rFonts w:hint="eastAsia" w:ascii="华文仿宋" w:hAnsi="华文仿宋" w:eastAsia="华文仿宋" w:cs="Times New Roman"/>
          <w:sz w:val="32"/>
          <w:szCs w:val="32"/>
        </w:rPr>
        <w:t>北京农村产权交易平台合作，开设“集体林权”交易窗口，推行</w:t>
      </w:r>
      <w:r>
        <w:rPr>
          <w:rFonts w:hint="eastAsia" w:ascii="仿宋_GB2312" w:eastAsia="仿宋_GB2312"/>
          <w:sz w:val="32"/>
          <w:szCs w:val="32"/>
        </w:rPr>
        <w:t>规范林地流转；通过</w:t>
      </w:r>
      <w:r>
        <w:rPr>
          <w:rFonts w:hint="eastAsia" w:ascii="华文仿宋" w:hAnsi="华文仿宋" w:eastAsia="华文仿宋" w:cs="Times New Roman"/>
          <w:sz w:val="32"/>
          <w:szCs w:val="32"/>
        </w:rPr>
        <w:t>设置北京市集体林权政策解读专题网页、林改政策咨询电话84236600、北京林改微信号BJ0386、利用媒体报道、举办培训班等多种形式对政策进行宣传，面向社会解答问题、听取意见、化解矛盾。自集体林权制度改革实施以来，全市林地承包经营纠纷调处率达100%，多年来无重大上访案件发生。</w:t>
      </w:r>
    </w:p>
    <w:p>
      <w:pPr>
        <w:spacing w:line="560" w:lineRule="exact"/>
        <w:ind w:firstLine="640" w:firstLineChars="200"/>
        <w:rPr>
          <w:rFonts w:ascii="华文仿宋" w:hAnsi="华文仿宋" w:eastAsia="华文仿宋" w:cs="Times New Roman"/>
          <w:sz w:val="32"/>
          <w:szCs w:val="32"/>
        </w:rPr>
      </w:pPr>
    </w:p>
    <w:p>
      <w:pPr>
        <w:spacing w:line="560" w:lineRule="exact"/>
        <w:ind w:firstLine="640" w:firstLineChars="200"/>
        <w:rPr>
          <w:rFonts w:ascii="华文仿宋" w:hAnsi="华文仿宋" w:eastAsia="华文仿宋" w:cs="Times New Roman"/>
          <w:sz w:val="32"/>
          <w:szCs w:val="32"/>
        </w:rPr>
      </w:pPr>
    </w:p>
    <w:p>
      <w:pPr>
        <w:spacing w:line="560" w:lineRule="exact"/>
        <w:ind w:firstLine="640" w:firstLineChars="200"/>
        <w:rPr>
          <w:rFonts w:ascii="华文仿宋" w:hAnsi="华文仿宋" w:eastAsia="华文仿宋" w:cs="Times New Roman"/>
          <w:sz w:val="32"/>
          <w:szCs w:val="32"/>
        </w:rPr>
      </w:pPr>
    </w:p>
    <w:p>
      <w:pPr>
        <w:spacing w:line="560" w:lineRule="exact"/>
        <w:ind w:firstLine="640" w:firstLineChars="200"/>
        <w:jc w:val="right"/>
        <w:rPr>
          <w:rFonts w:ascii="华文仿宋" w:hAnsi="华文仿宋" w:eastAsia="华文仿宋" w:cs="Times New Roman"/>
          <w:sz w:val="32"/>
          <w:szCs w:val="32"/>
        </w:rPr>
      </w:pPr>
      <w:r>
        <w:rPr>
          <w:rFonts w:ascii="华文仿宋" w:hAnsi="华文仿宋" w:eastAsia="华文仿宋" w:cs="Times New Roman"/>
          <w:sz w:val="32"/>
          <w:szCs w:val="32"/>
        </w:rPr>
        <w:t>2017年</w:t>
      </w:r>
      <w:r>
        <w:rPr>
          <w:rFonts w:hint="eastAsia" w:ascii="华文仿宋" w:hAnsi="华文仿宋" w:eastAsia="华文仿宋" w:cs="Times New Roman"/>
          <w:sz w:val="32"/>
          <w:szCs w:val="32"/>
        </w:rPr>
        <w:t>6</w:t>
      </w:r>
      <w:r>
        <w:rPr>
          <w:rFonts w:ascii="华文仿宋" w:hAnsi="华文仿宋" w:eastAsia="华文仿宋" w:cs="Times New Roman"/>
          <w:sz w:val="32"/>
          <w:szCs w:val="32"/>
        </w:rPr>
        <w:t>月</w:t>
      </w:r>
      <w:r>
        <w:rPr>
          <w:rFonts w:hint="eastAsia" w:ascii="华文仿宋" w:hAnsi="华文仿宋" w:eastAsia="华文仿宋" w:cs="Times New Roman"/>
          <w:sz w:val="32"/>
          <w:szCs w:val="32"/>
        </w:rPr>
        <w:t>2</w:t>
      </w:r>
      <w:r>
        <w:rPr>
          <w:rFonts w:ascii="华文仿宋" w:hAnsi="华文仿宋" w:eastAsia="华文仿宋" w:cs="Times New Roman"/>
          <w:sz w:val="32"/>
          <w:szCs w:val="32"/>
        </w:rPr>
        <w:t>日</w:t>
      </w:r>
    </w:p>
    <w:p>
      <w:pPr>
        <w:spacing w:line="560" w:lineRule="exact"/>
        <w:ind w:firstLine="640" w:firstLineChars="200"/>
        <w:rPr>
          <w:rFonts w:ascii="黑体" w:hAnsi="黑体" w:eastAsia="黑体" w:cs="Times New Roman"/>
          <w:sz w:val="32"/>
          <w:szCs w:val="32"/>
        </w:rPr>
      </w:pPr>
    </w:p>
    <w:sectPr>
      <w:footerReference r:id="rId3" w:type="default"/>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Tahoma">
    <w:altName w:val="DejaVu Sans"/>
    <w:panose1 w:val="020B0604030504040204"/>
    <w:charset w:val="00"/>
    <w:family w:val="swiss"/>
    <w:pitch w:val="default"/>
    <w:sig w:usb0="00000000" w:usb1="00000000" w:usb2="00000029" w:usb3="00000000" w:csb0="000101FF" w:csb1="00000000"/>
  </w:font>
  <w:font w:name="微软雅黑">
    <w:altName w:val="黑体"/>
    <w:panose1 w:val="020B0503020204020204"/>
    <w:charset w:val="86"/>
    <w:family w:val="swiss"/>
    <w:pitch w:val="default"/>
    <w:sig w:usb0="00000000" w:usb1="0000000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华文仿宋">
    <w:altName w:val="汉仪仿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方正仿宋_GBK">
    <w:panose1 w:val="02000000000000000000"/>
    <w:charset w:val="86"/>
    <w:family w:val="auto"/>
    <w:pitch w:val="default"/>
    <w:sig w:usb0="00000001" w:usb1="08000000" w:usb2="00000000" w:usb3="00000000" w:csb0="00040000" w:csb1="00000000"/>
  </w:font>
  <w:font w:name="汉仪仿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2193081"/>
      <w:docPartObj>
        <w:docPartGallery w:val="AutoText"/>
      </w:docPartObj>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5753"/>
    <w:rsid w:val="00000DD4"/>
    <w:rsid w:val="0000236B"/>
    <w:rsid w:val="00020802"/>
    <w:rsid w:val="00062AC7"/>
    <w:rsid w:val="000762D3"/>
    <w:rsid w:val="000829D2"/>
    <w:rsid w:val="00083F6F"/>
    <w:rsid w:val="000A3020"/>
    <w:rsid w:val="000A3C6F"/>
    <w:rsid w:val="000B395F"/>
    <w:rsid w:val="000B76CF"/>
    <w:rsid w:val="001026DD"/>
    <w:rsid w:val="00157800"/>
    <w:rsid w:val="0018121E"/>
    <w:rsid w:val="0019040F"/>
    <w:rsid w:val="001C2D7A"/>
    <w:rsid w:val="00202556"/>
    <w:rsid w:val="00210EF4"/>
    <w:rsid w:val="00221B10"/>
    <w:rsid w:val="002A4809"/>
    <w:rsid w:val="00307C23"/>
    <w:rsid w:val="003B07DE"/>
    <w:rsid w:val="003C3DE3"/>
    <w:rsid w:val="003D4A94"/>
    <w:rsid w:val="003F5387"/>
    <w:rsid w:val="00412CF7"/>
    <w:rsid w:val="004430C5"/>
    <w:rsid w:val="004C1AF5"/>
    <w:rsid w:val="004D19F1"/>
    <w:rsid w:val="00500C1C"/>
    <w:rsid w:val="0051247A"/>
    <w:rsid w:val="005277A9"/>
    <w:rsid w:val="00540027"/>
    <w:rsid w:val="00581691"/>
    <w:rsid w:val="00583CC9"/>
    <w:rsid w:val="005D500F"/>
    <w:rsid w:val="005F1BAF"/>
    <w:rsid w:val="0060703E"/>
    <w:rsid w:val="0064698F"/>
    <w:rsid w:val="00654AE3"/>
    <w:rsid w:val="00681B06"/>
    <w:rsid w:val="006878E7"/>
    <w:rsid w:val="006B36A9"/>
    <w:rsid w:val="007057DC"/>
    <w:rsid w:val="00721007"/>
    <w:rsid w:val="00731F1B"/>
    <w:rsid w:val="00734E78"/>
    <w:rsid w:val="00745F47"/>
    <w:rsid w:val="007611E2"/>
    <w:rsid w:val="0078433F"/>
    <w:rsid w:val="00792078"/>
    <w:rsid w:val="007D1085"/>
    <w:rsid w:val="007D1C97"/>
    <w:rsid w:val="007E46D1"/>
    <w:rsid w:val="00805753"/>
    <w:rsid w:val="008111DB"/>
    <w:rsid w:val="00813034"/>
    <w:rsid w:val="008247FC"/>
    <w:rsid w:val="00867616"/>
    <w:rsid w:val="00873F73"/>
    <w:rsid w:val="008940E0"/>
    <w:rsid w:val="008948CE"/>
    <w:rsid w:val="008A337B"/>
    <w:rsid w:val="008B3778"/>
    <w:rsid w:val="008D0841"/>
    <w:rsid w:val="00904AD6"/>
    <w:rsid w:val="00954A69"/>
    <w:rsid w:val="00972E68"/>
    <w:rsid w:val="009B60A2"/>
    <w:rsid w:val="009B626A"/>
    <w:rsid w:val="009C4EFA"/>
    <w:rsid w:val="009D7238"/>
    <w:rsid w:val="009E23DC"/>
    <w:rsid w:val="009E3D56"/>
    <w:rsid w:val="00A24D8B"/>
    <w:rsid w:val="00A5453D"/>
    <w:rsid w:val="00A7002A"/>
    <w:rsid w:val="00A71DAF"/>
    <w:rsid w:val="00A76841"/>
    <w:rsid w:val="00AB2A0F"/>
    <w:rsid w:val="00B02E90"/>
    <w:rsid w:val="00B165FB"/>
    <w:rsid w:val="00B279D4"/>
    <w:rsid w:val="00BD2807"/>
    <w:rsid w:val="00BD482E"/>
    <w:rsid w:val="00BE0349"/>
    <w:rsid w:val="00C12ED3"/>
    <w:rsid w:val="00C15CCB"/>
    <w:rsid w:val="00C55297"/>
    <w:rsid w:val="00CB2463"/>
    <w:rsid w:val="00CE4B3C"/>
    <w:rsid w:val="00CF69A3"/>
    <w:rsid w:val="00D217E0"/>
    <w:rsid w:val="00D27F29"/>
    <w:rsid w:val="00D31603"/>
    <w:rsid w:val="00D57820"/>
    <w:rsid w:val="00D76A41"/>
    <w:rsid w:val="00D87708"/>
    <w:rsid w:val="00DA6710"/>
    <w:rsid w:val="00DB103A"/>
    <w:rsid w:val="00DB30FA"/>
    <w:rsid w:val="00DC3CD7"/>
    <w:rsid w:val="00DF4E02"/>
    <w:rsid w:val="00E065C4"/>
    <w:rsid w:val="00E14777"/>
    <w:rsid w:val="00E32F95"/>
    <w:rsid w:val="00E57E7E"/>
    <w:rsid w:val="00E84D09"/>
    <w:rsid w:val="00ED72C9"/>
    <w:rsid w:val="00EE38A4"/>
    <w:rsid w:val="00EE38B6"/>
    <w:rsid w:val="00EF3F68"/>
    <w:rsid w:val="00F07DC0"/>
    <w:rsid w:val="00F35919"/>
    <w:rsid w:val="00F65821"/>
    <w:rsid w:val="00F81BE6"/>
    <w:rsid w:val="00F87D53"/>
    <w:rsid w:val="00FA6AB8"/>
    <w:rsid w:val="00FE6D45"/>
    <w:rsid w:val="00FF2022"/>
    <w:rsid w:val="7EDBE1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微软雅黑" w:hAnsi="微软雅黑" w:eastAsia="微软雅黑" w:cs="宋体"/>
      <w:color w:val="333333"/>
      <w:kern w:val="0"/>
      <w:sz w:val="24"/>
      <w:szCs w:val="24"/>
    </w:rPr>
  </w:style>
  <w:style w:type="paragraph" w:customStyle="1" w:styleId="8">
    <w:name w:val="Char"/>
    <w:basedOn w:val="1"/>
    <w:qFormat/>
    <w:uiPriority w:val="0"/>
    <w:rPr>
      <w:rFonts w:ascii="Tahoma" w:hAnsi="Tahoma" w:eastAsia="宋体" w:cs="Times New Roman"/>
      <w:sz w:val="24"/>
      <w:szCs w:val="20"/>
    </w:rPr>
  </w:style>
  <w:style w:type="character" w:customStyle="1" w:styleId="9">
    <w:name w:val="页眉 Char"/>
    <w:basedOn w:val="7"/>
    <w:link w:val="4"/>
    <w:qFormat/>
    <w:uiPriority w:val="99"/>
    <w:rPr>
      <w:sz w:val="18"/>
      <w:szCs w:val="18"/>
    </w:rPr>
  </w:style>
  <w:style w:type="character" w:customStyle="1" w:styleId="10">
    <w:name w:val="页脚 Char"/>
    <w:basedOn w:val="7"/>
    <w:link w:val="3"/>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359</Words>
  <Characters>2052</Characters>
  <Lines>17</Lines>
  <Paragraphs>4</Paragraphs>
  <TotalTime>34</TotalTime>
  <ScaleCrop>false</ScaleCrop>
  <LinksUpToDate>false</LinksUpToDate>
  <CharactersWithSpaces>2407</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2017-05-08T10:28:00Z</dcterms:created>
  <dc:creator>aa</dc:creator>
  <cp:lastModifiedBy>uos</cp:lastModifiedBy>
  <dcterms:modified xsi:type="dcterms:W3CDTF">2023-05-08T14:46:32Z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